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rPr>
          <w:rFonts w:eastAsia="宋体" w:cs="Arial"/>
          <w:bCs/>
          <w:sz w:val="22"/>
          <w:lang w:eastAsia="zh-CN"/>
        </w:rPr>
      </w:pPr>
      <w:r>
        <w:rPr>
          <w:rFonts w:cs="Arial"/>
          <w:bCs/>
          <w:sz w:val="22"/>
        </w:rPr>
        <w:t>3GPP TSG-RAN WG2 Meeting #101</w:t>
      </w:r>
      <w:r>
        <w:rPr>
          <w:rFonts w:hint="eastAsia" w:eastAsia="宋体" w:cs="Arial"/>
          <w:bCs/>
          <w:sz w:val="22"/>
          <w:lang w:eastAsia="zh-CN"/>
        </w:rPr>
        <w:t>bis</w:t>
      </w:r>
      <w:r>
        <w:rPr>
          <w:rFonts w:cs="Arial"/>
          <w:bCs/>
          <w:sz w:val="22"/>
        </w:rPr>
        <w:tab/>
      </w:r>
      <w:r>
        <w:rPr>
          <w:rFonts w:cs="Arial"/>
          <w:bCs/>
          <w:sz w:val="22"/>
        </w:rPr>
        <w:tab/>
      </w:r>
      <w:r>
        <w:rPr>
          <w:rFonts w:cs="Arial"/>
          <w:bCs/>
          <w:sz w:val="22"/>
        </w:rPr>
        <w:t>R2-1804597</w:t>
      </w:r>
    </w:p>
    <w:p>
      <w:pPr>
        <w:pStyle w:val="22"/>
        <w:rPr>
          <w:rFonts w:eastAsia="宋体" w:cs="Arial"/>
          <w:bCs/>
          <w:sz w:val="22"/>
          <w:szCs w:val="22"/>
          <w:lang w:eastAsia="zh-CN"/>
        </w:rPr>
      </w:pPr>
      <w:r>
        <w:rPr>
          <w:rFonts w:hint="eastAsia" w:eastAsia="宋体"/>
          <w:sz w:val="22"/>
          <w:lang w:eastAsia="zh-CN"/>
        </w:rPr>
        <w:t>Sanya, China, 16</w:t>
      </w:r>
      <w:r>
        <w:rPr>
          <w:rFonts w:hint="eastAsia" w:eastAsia="宋体"/>
          <w:sz w:val="22"/>
          <w:vertAlign w:val="superscript"/>
          <w:lang w:eastAsia="zh-CN"/>
        </w:rPr>
        <w:t>th</w:t>
      </w:r>
      <w:r>
        <w:rPr>
          <w:rFonts w:hint="eastAsia" w:eastAsia="宋体"/>
          <w:sz w:val="22"/>
          <w:lang w:eastAsia="zh-CN"/>
        </w:rPr>
        <w:t xml:space="preserve"> - 20</w:t>
      </w:r>
      <w:r>
        <w:rPr>
          <w:rFonts w:hint="eastAsia" w:eastAsia="宋体"/>
          <w:sz w:val="22"/>
          <w:vertAlign w:val="superscript"/>
          <w:lang w:eastAsia="zh-CN"/>
        </w:rPr>
        <w:t>th</w:t>
      </w:r>
      <w:r>
        <w:rPr>
          <w:rFonts w:hint="eastAsia" w:eastAsia="宋体"/>
          <w:sz w:val="22"/>
          <w:lang w:eastAsia="zh-CN"/>
        </w:rPr>
        <w:t xml:space="preserve"> April 2018</w:t>
      </w:r>
      <w:r>
        <w:rPr>
          <w:rFonts w:eastAsia="宋体"/>
          <w:sz w:val="22"/>
          <w:lang w:eastAsia="zh-CN"/>
        </w:rPr>
        <w:t xml:space="preserve">     </w:t>
      </w:r>
      <w:r>
        <w:rPr>
          <w:rFonts w:hint="eastAsia" w:eastAsia="宋体"/>
          <w:sz w:val="22"/>
          <w:lang w:eastAsia="zh-CN"/>
        </w:rPr>
        <w:t xml:space="preserve"> </w:t>
      </w:r>
      <w:r>
        <w:rPr>
          <w:rFonts w:eastAsia="宋体"/>
          <w:sz w:val="22"/>
          <w:lang w:eastAsia="zh-CN"/>
        </w:rPr>
        <w:t xml:space="preserve">          </w:t>
      </w:r>
      <w:r>
        <w:rPr>
          <w:rFonts w:hint="eastAsia" w:eastAsia="宋体"/>
          <w:sz w:val="22"/>
          <w:lang w:eastAsia="zh-CN"/>
        </w:rPr>
        <w:tab/>
      </w:r>
      <w:r>
        <w:rPr>
          <w:rFonts w:eastAsia="宋体"/>
          <w:sz w:val="22"/>
          <w:lang w:eastAsia="zh-CN"/>
        </w:rPr>
        <w:t xml:space="preserve"> </w:t>
      </w:r>
      <w:r>
        <w:rPr>
          <w:rFonts w:cs="Arial"/>
          <w:bCs/>
          <w:sz w:val="22"/>
          <w:shd w:val="clear" w:color="auto" w:fill="FFFFFF" w:themeFill="background1"/>
        </w:rPr>
        <w:t>(Resubmission</w:t>
      </w:r>
      <w:r>
        <w:rPr>
          <w:rFonts w:hint="eastAsia" w:cs="Arial"/>
          <w:bCs/>
          <w:sz w:val="22"/>
          <w:shd w:val="clear" w:color="auto" w:fill="FFFFFF" w:themeFill="background1"/>
        </w:rPr>
        <w:t xml:space="preserve"> of</w:t>
      </w:r>
      <w:r>
        <w:rPr>
          <w:rFonts w:cs="Arial"/>
          <w:bCs/>
          <w:sz w:val="22"/>
          <w:shd w:val="clear" w:color="auto" w:fill="FFFFFF" w:themeFill="background1"/>
        </w:rPr>
        <w:t xml:space="preserve"> </w:t>
      </w:r>
      <w:r>
        <w:rPr>
          <w:rFonts w:hint="eastAsia" w:cs="Arial"/>
          <w:bCs/>
          <w:sz w:val="22"/>
          <w:shd w:val="clear" w:color="auto" w:fill="FFFFFF" w:themeFill="background1"/>
        </w:rPr>
        <w:t>R2-1802098</w:t>
      </w:r>
      <w:r>
        <w:rPr>
          <w:rFonts w:cs="Arial"/>
          <w:bCs/>
          <w:sz w:val="22"/>
        </w:rPr>
        <w:t>)</w:t>
      </w:r>
      <w:r>
        <w:rPr>
          <w:rFonts w:cs="Arial"/>
          <w:bCs/>
          <w:sz w:val="22"/>
        </w:rPr>
        <w:tab/>
      </w:r>
    </w:p>
    <w:p>
      <w:pPr>
        <w:pStyle w:val="22"/>
        <w:tabs>
          <w:tab w:val="left" w:pos="1800"/>
          <w:tab w:val="clear" w:pos="4536"/>
        </w:tabs>
        <w:ind w:left="1800" w:hanging="1800"/>
        <w:rPr>
          <w:rFonts w:cs="Arial"/>
          <w:sz w:val="22"/>
          <w:szCs w:val="22"/>
        </w:rPr>
      </w:pPr>
    </w:p>
    <w:p>
      <w:pPr>
        <w:pStyle w:val="22"/>
        <w:tabs>
          <w:tab w:val="left" w:pos="1800"/>
          <w:tab w:val="clear" w:pos="4536"/>
        </w:tabs>
        <w:ind w:left="1800" w:hanging="1800"/>
        <w:rPr>
          <w:rFonts w:eastAsia="宋体"/>
          <w:sz w:val="22"/>
          <w:szCs w:val="22"/>
          <w:lang w:eastAsia="zh-CN"/>
        </w:rPr>
      </w:pPr>
      <w:r>
        <w:rPr>
          <w:rFonts w:cs="Arial"/>
          <w:sz w:val="22"/>
          <w:szCs w:val="22"/>
        </w:rPr>
        <w:t>Source:</w:t>
      </w:r>
      <w:r>
        <w:rPr>
          <w:rFonts w:cs="Arial"/>
          <w:sz w:val="22"/>
          <w:szCs w:val="22"/>
        </w:rPr>
        <w:tab/>
      </w:r>
      <w:r>
        <w:rPr>
          <w:rFonts w:hint="eastAsia" w:eastAsia="宋体"/>
          <w:sz w:val="22"/>
          <w:szCs w:val="22"/>
          <w:lang w:eastAsia="zh-CN"/>
        </w:rPr>
        <w:t>vivo</w:t>
      </w:r>
    </w:p>
    <w:p>
      <w:pPr>
        <w:pStyle w:val="22"/>
        <w:tabs>
          <w:tab w:val="left" w:pos="1800"/>
          <w:tab w:val="clear" w:pos="4536"/>
        </w:tabs>
        <w:ind w:left="1798" w:hanging="1792" w:hangingChars="814"/>
        <w:rPr>
          <w:rFonts w:eastAsia="宋体" w:cs="Arial"/>
          <w:sz w:val="22"/>
          <w:szCs w:val="22"/>
          <w:lang w:eastAsia="zh-CN"/>
        </w:rPr>
      </w:pPr>
      <w:r>
        <w:rPr>
          <w:rFonts w:cs="Arial"/>
          <w:sz w:val="22"/>
          <w:szCs w:val="22"/>
        </w:rPr>
        <w:t>Title:</w:t>
      </w:r>
      <w:bookmarkStart w:id="0" w:name="Title"/>
      <w:bookmarkEnd w:id="0"/>
      <w:r>
        <w:rPr>
          <w:rFonts w:cs="Arial"/>
          <w:sz w:val="22"/>
          <w:szCs w:val="22"/>
        </w:rPr>
        <w:tab/>
      </w:r>
      <w:bookmarkStart w:id="1" w:name="OLE_LINK4"/>
      <w:bookmarkStart w:id="2" w:name="OLE_LINK3"/>
      <w:r>
        <w:rPr>
          <w:sz w:val="22"/>
          <w:szCs w:val="22"/>
          <w:lang w:eastAsia="ja-JP"/>
        </w:rPr>
        <w:t>RRC Connection Release</w:t>
      </w:r>
      <w:bookmarkEnd w:id="1"/>
      <w:bookmarkEnd w:id="2"/>
      <w:r>
        <w:rPr>
          <w:sz w:val="22"/>
          <w:szCs w:val="22"/>
          <w:lang w:eastAsia="ja-JP"/>
        </w:rPr>
        <w:t xml:space="preserve"> Issues for UE in RRC_INACTIVE</w:t>
      </w:r>
    </w:p>
    <w:p>
      <w:pPr>
        <w:pStyle w:val="22"/>
        <w:tabs>
          <w:tab w:val="left" w:pos="1800"/>
        </w:tabs>
        <w:rPr>
          <w:rFonts w:eastAsia="宋体"/>
          <w:sz w:val="22"/>
          <w:szCs w:val="22"/>
          <w:lang w:eastAsia="zh-CN"/>
        </w:rPr>
      </w:pPr>
      <w:r>
        <w:rPr>
          <w:rFonts w:cs="Arial"/>
          <w:sz w:val="22"/>
          <w:szCs w:val="22"/>
        </w:rPr>
        <w:t>Agenda Item:</w:t>
      </w:r>
      <w:bookmarkStart w:id="3" w:name="Source"/>
      <w:bookmarkEnd w:id="3"/>
      <w:r>
        <w:rPr>
          <w:rFonts w:cs="Arial"/>
          <w:sz w:val="22"/>
          <w:szCs w:val="22"/>
        </w:rPr>
        <w:tab/>
      </w:r>
      <w:r>
        <w:rPr>
          <w:rFonts w:eastAsia="宋体" w:cs="Arial"/>
          <w:sz w:val="22"/>
          <w:szCs w:val="22"/>
          <w:lang w:eastAsia="zh-CN"/>
        </w:rPr>
        <w:t>10.4.1.</w:t>
      </w:r>
      <w:r>
        <w:rPr>
          <w:rFonts w:hint="eastAsia" w:eastAsia="宋体" w:cs="Arial"/>
          <w:sz w:val="22"/>
          <w:szCs w:val="22"/>
          <w:lang w:eastAsia="zh-CN"/>
        </w:rPr>
        <w:t>3</w:t>
      </w:r>
      <w:r>
        <w:rPr>
          <w:rFonts w:eastAsia="宋体" w:cs="Arial"/>
          <w:sz w:val="22"/>
          <w:szCs w:val="22"/>
          <w:lang w:eastAsia="zh-CN"/>
        </w:rPr>
        <w:t>.7</w:t>
      </w:r>
    </w:p>
    <w:p>
      <w:pPr>
        <w:pStyle w:val="22"/>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eastAsia="zh-CN"/>
        </w:rPr>
        <w:t xml:space="preserve"> and Decision</w:t>
      </w:r>
    </w:p>
    <w:p>
      <w:pPr>
        <w:pStyle w:val="2"/>
        <w:keepLines/>
        <w:numPr>
          <w:ilvl w:val="0"/>
          <w:numId w:val="5"/>
        </w:numPr>
        <w:pBdr>
          <w:top w:val="single" w:color="auto" w:sz="12" w:space="3"/>
        </w:pBdr>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3"/>
      <w:bookmarkStart w:id="6" w:name="OLE_LINK14"/>
      <w:r>
        <w:rPr>
          <w:rFonts w:hint="eastAsia" w:cs="Times New Roman"/>
          <w:b w:val="0"/>
          <w:bCs w:val="0"/>
          <w:kern w:val="0"/>
          <w:sz w:val="36"/>
          <w:szCs w:val="20"/>
          <w:lang w:val="en-GB" w:eastAsia="en-GB"/>
        </w:rPr>
        <w:t>Introduction</w:t>
      </w:r>
      <w:r>
        <w:rPr>
          <w:rFonts w:cs="Times New Roman"/>
          <w:b w:val="0"/>
          <w:bCs w:val="0"/>
          <w:kern w:val="0"/>
          <w:sz w:val="36"/>
          <w:szCs w:val="20"/>
          <w:lang w:val="en-GB" w:eastAsia="en-GB"/>
        </w:rPr>
        <w:t xml:space="preserve"> &amp; Background</w:t>
      </w:r>
    </w:p>
    <w:p>
      <w:pPr>
        <w:jc w:val="both"/>
        <w:rPr>
          <w:rFonts w:eastAsia="宋体"/>
          <w:lang w:eastAsia="zh-CN"/>
        </w:rPr>
      </w:pPr>
      <w:r>
        <w:rPr>
          <w:rFonts w:hint="eastAsia" w:eastAsia="等线"/>
          <w:szCs w:val="20"/>
          <w:lang w:val="en-GB" w:eastAsia="zh-CN"/>
        </w:rPr>
        <w:t xml:space="preserve">The </w:t>
      </w:r>
      <w:r>
        <w:rPr>
          <w:rFonts w:eastAsia="等线"/>
          <w:szCs w:val="20"/>
          <w:lang w:val="en-GB" w:eastAsia="zh-CN"/>
        </w:rPr>
        <w:t>contributio</w:t>
      </w:r>
      <w:r>
        <w:rPr>
          <w:rFonts w:eastAsia="宋体"/>
          <w:lang w:val="en-GB" w:eastAsia="zh-CN"/>
        </w:rPr>
        <w:t xml:space="preserve">n is </w:t>
      </w:r>
      <w:r>
        <w:rPr>
          <w:rFonts w:hint="eastAsia" w:eastAsia="宋体"/>
          <w:lang w:eastAsia="zh-CN"/>
        </w:rPr>
        <w:t>r</w:t>
      </w:r>
      <w:r>
        <w:rPr>
          <w:rFonts w:hint="eastAsia" w:eastAsia="宋体"/>
          <w:lang w:val="en-GB" w:eastAsia="zh-CN"/>
        </w:rPr>
        <w:t xml:space="preserve">esubmission </w:t>
      </w:r>
      <w:r>
        <w:rPr>
          <w:rFonts w:eastAsia="宋体"/>
          <w:lang w:val="en-GB" w:eastAsia="zh-CN"/>
        </w:rPr>
        <w:t xml:space="preserve">of </w:t>
      </w:r>
      <w:r>
        <w:rPr>
          <w:rFonts w:hint="eastAsia" w:eastAsia="宋体"/>
          <w:lang w:val="en-GB" w:eastAsia="zh-CN"/>
        </w:rPr>
        <w:t>R2-1802098</w:t>
      </w:r>
      <w:r>
        <w:rPr>
          <w:rFonts w:eastAsia="等线"/>
          <w:szCs w:val="20"/>
          <w:lang w:val="en-GB" w:eastAsia="zh-CN"/>
        </w:rPr>
        <w:t xml:space="preserve">. </w:t>
      </w:r>
      <w:r>
        <w:rPr>
          <w:rFonts w:hint="eastAsia" w:eastAsia="宋体"/>
          <w:lang w:eastAsia="zh-CN"/>
        </w:rPr>
        <w:t xml:space="preserve">At </w:t>
      </w:r>
      <w:r>
        <w:rPr>
          <w:rFonts w:eastAsia="宋体"/>
          <w:lang w:eastAsia="zh-CN"/>
        </w:rPr>
        <w:t xml:space="preserve">previous RAN2 </w:t>
      </w:r>
      <w:r>
        <w:rPr>
          <w:rFonts w:hint="eastAsia" w:eastAsia="宋体"/>
          <w:lang w:eastAsia="zh-CN"/>
        </w:rPr>
        <w:t>meeting</w:t>
      </w:r>
      <w:r>
        <w:rPr>
          <w:rFonts w:eastAsia="宋体"/>
          <w:lang w:eastAsia="zh-CN"/>
        </w:rPr>
        <w:t>s</w:t>
      </w:r>
      <w:r>
        <w:rPr>
          <w:rFonts w:hint="eastAsia" w:eastAsia="宋体"/>
          <w:lang w:eastAsia="zh-CN"/>
        </w:rPr>
        <w:t xml:space="preserve">, </w:t>
      </w:r>
      <w:r>
        <w:rPr>
          <w:rFonts w:eastAsia="宋体"/>
          <w:lang w:eastAsia="zh-CN"/>
        </w:rPr>
        <w:t xml:space="preserve">many agreements have been made on the NR RRC connection control topic. </w:t>
      </w:r>
      <w:r>
        <w:rPr>
          <w:rFonts w:hint="eastAsia" w:eastAsia="宋体"/>
          <w:lang w:eastAsia="zh-CN"/>
        </w:rPr>
        <w:t>In</w:t>
      </w:r>
      <w:r>
        <w:rPr>
          <w:rFonts w:eastAsia="宋体"/>
          <w:lang w:eastAsia="zh-CN"/>
        </w:rPr>
        <w:t xml:space="preserve"> this paper, we further discuss </w:t>
      </w:r>
      <w:bookmarkStart w:id="7" w:name="OLE_LINK2"/>
      <w:bookmarkStart w:id="8" w:name="OLE_LINK1"/>
      <w:r>
        <w:rPr>
          <w:rFonts w:eastAsia="宋体"/>
          <w:lang w:eastAsia="zh-CN"/>
        </w:rPr>
        <w:t>potential issues</w:t>
      </w:r>
      <w:bookmarkEnd w:id="7"/>
      <w:bookmarkEnd w:id="8"/>
      <w:r>
        <w:rPr>
          <w:rFonts w:eastAsia="宋体"/>
          <w:lang w:eastAsia="zh-CN"/>
        </w:rPr>
        <w:t xml:space="preserve"> relevant to RRC connection release when UE resuming from RRC_INACTIVE and give our proposals.</w:t>
      </w:r>
    </w:p>
    <w:p>
      <w:pPr>
        <w:pStyle w:val="2"/>
        <w:keepLines/>
        <w:numPr>
          <w:ilvl w:val="0"/>
          <w:numId w:val="5"/>
        </w:numPr>
        <w:pBdr>
          <w:top w:val="single" w:color="auto" w:sz="12" w:space="3"/>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hint="eastAsia" w:cs="Times New Roman"/>
          <w:b w:val="0"/>
          <w:bCs w:val="0"/>
          <w:kern w:val="0"/>
          <w:sz w:val="36"/>
          <w:szCs w:val="20"/>
          <w:lang w:val="fr-FR"/>
        </w:rPr>
        <w:t>Discussion</w:t>
      </w:r>
    </w:p>
    <w:p>
      <w:pPr>
        <w:pStyle w:val="3"/>
        <w:rPr>
          <w:rFonts w:eastAsia="宋体"/>
          <w:lang w:eastAsia="zh-CN"/>
        </w:rPr>
      </w:pPr>
      <w:r>
        <w:t xml:space="preserve">The discussion is </w:t>
      </w:r>
      <w:r>
        <w:rPr>
          <w:rFonts w:hint="eastAsia"/>
        </w:rPr>
        <w:t>focus</w:t>
      </w:r>
      <w:r>
        <w:t>ed on the network triggered RRC connection release procedures. Potential issues are addressed respectively.</w:t>
      </w:r>
    </w:p>
    <w:p>
      <w:pPr>
        <w:pStyle w:val="4"/>
        <w:keepLines/>
        <w:numPr>
          <w:ilvl w:val="0"/>
          <w:numId w:val="0"/>
        </w:numPr>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r>
        <w:rPr>
          <w:rFonts w:eastAsia="宋体" w:cs="Times New Roman"/>
          <w:b w:val="0"/>
          <w:sz w:val="32"/>
          <w:szCs w:val="20"/>
          <w:lang w:val="en-GB"/>
        </w:rPr>
        <w:t>Issue 1: Whether the same RRC Connection Release kind of message can be used for RRC transition from INACTIVE to IDLE, CONNECTED to IDLE, and CONNECTED to INACTIVE</w:t>
      </w:r>
    </w:p>
    <w:p>
      <w:pPr>
        <w:pStyle w:val="57"/>
        <w:ind w:left="0" w:firstLine="0"/>
        <w:jc w:val="both"/>
        <w:rPr>
          <w:rFonts w:eastAsia="宋体"/>
          <w:lang w:eastAsia="zh-CN"/>
        </w:rPr>
      </w:pPr>
      <w:r>
        <w:rPr>
          <w:rFonts w:eastAsia="宋体"/>
          <w:lang w:eastAsia="zh-CN"/>
        </w:rPr>
        <w:t xml:space="preserve">From our understanding, </w:t>
      </w:r>
      <w:r>
        <w:rPr>
          <w:rFonts w:hint="eastAsia" w:eastAsia="宋体"/>
          <w:lang w:eastAsia="zh-CN"/>
        </w:rPr>
        <w:t>whe</w:t>
      </w:r>
      <w:r>
        <w:rPr>
          <w:rFonts w:eastAsia="宋体"/>
          <w:lang w:eastAsia="zh-CN"/>
        </w:rPr>
        <w:t xml:space="preserve">ther to have one common RRC Connection Release message for the three RRC transition procedures mainly depends on the transport channel to deliver the RRC message and the essential content carried in the RRC message. We have the following observations as per RAN2 agreements reached so far. </w:t>
      </w:r>
    </w:p>
    <w:p>
      <w:pPr>
        <w:jc w:val="both"/>
        <w:rPr>
          <w:rFonts w:eastAsia="宋体"/>
          <w:i/>
          <w:szCs w:val="20"/>
          <w:lang w:val="en-GB" w:eastAsia="zh-CN"/>
        </w:rPr>
      </w:pPr>
      <w:r>
        <w:rPr>
          <w:rFonts w:hint="eastAsia" w:eastAsia="宋体"/>
          <w:i/>
          <w:szCs w:val="20"/>
          <w:lang w:val="en-GB" w:eastAsia="zh-CN"/>
        </w:rPr>
        <w:t>Agreement</w:t>
      </w:r>
      <w:r>
        <w:rPr>
          <w:rFonts w:eastAsia="宋体"/>
          <w:i/>
          <w:szCs w:val="20"/>
          <w:lang w:val="en-GB" w:eastAsia="zh-CN"/>
        </w:rPr>
        <w:t>s at RAN2#99 meeting:</w:t>
      </w:r>
    </w:p>
    <w:p>
      <w:pPr>
        <w:jc w:val="both"/>
        <w:rPr>
          <w:rFonts w:eastAsia="宋体"/>
          <w:i/>
          <w:szCs w:val="20"/>
          <w:lang w:val="en-GB" w:eastAsia="zh-CN"/>
        </w:rPr>
      </w:pPr>
      <w:r>
        <w:rPr>
          <w:rFonts w:hint="eastAsia" w:eastAsia="宋体"/>
          <w:i/>
          <w:szCs w:val="20"/>
          <w:lang w:val="en-GB" w:eastAsia="zh-CN"/>
        </w:rPr>
        <w:t xml:space="preserve">10. </w:t>
      </w:r>
      <w:r>
        <w:rPr>
          <w:rFonts w:eastAsia="宋体"/>
          <w:i/>
          <w:szCs w:val="20"/>
          <w:lang w:val="en-GB" w:eastAsia="zh-CN"/>
        </w:rPr>
        <w:t xml:space="preserve">For CONNECTED to IDLE RRC transition, the RRC Connection Release kind of message is used and is </w:t>
      </w:r>
      <w:r>
        <w:rPr>
          <w:rFonts w:eastAsia="宋体"/>
          <w:i/>
          <w:szCs w:val="20"/>
          <w:highlight w:val="yellow"/>
          <w:lang w:val="en-GB" w:eastAsia="zh-CN"/>
        </w:rPr>
        <w:t>sent over SRB1</w:t>
      </w:r>
      <w:r>
        <w:rPr>
          <w:rFonts w:eastAsia="宋体"/>
          <w:i/>
          <w:szCs w:val="20"/>
          <w:lang w:val="en-GB" w:eastAsia="zh-CN"/>
        </w:rPr>
        <w:t>.</w:t>
      </w:r>
    </w:p>
    <w:p>
      <w:pPr>
        <w:jc w:val="both"/>
        <w:rPr>
          <w:rFonts w:eastAsia="宋体"/>
          <w:i/>
          <w:szCs w:val="20"/>
          <w:lang w:val="en-GB" w:eastAsia="zh-CN"/>
        </w:rPr>
      </w:pPr>
      <w:r>
        <w:rPr>
          <w:rFonts w:hint="eastAsia" w:eastAsia="宋体"/>
          <w:i/>
          <w:szCs w:val="20"/>
          <w:lang w:val="en-GB" w:eastAsia="zh-CN"/>
        </w:rPr>
        <w:t>26.</w:t>
      </w:r>
      <w:r>
        <w:rPr>
          <w:rFonts w:eastAsia="宋体"/>
          <w:i/>
          <w:szCs w:val="20"/>
          <w:lang w:val="en-GB" w:eastAsia="zh-CN"/>
        </w:rPr>
        <w:t xml:space="preserve">For CONNECTED to INACTIVE RRC transition, a RRC Connection Release kind of message is used and is </w:t>
      </w:r>
      <w:r>
        <w:rPr>
          <w:rFonts w:eastAsia="宋体"/>
          <w:i/>
          <w:szCs w:val="20"/>
          <w:highlight w:val="yellow"/>
          <w:lang w:val="en-GB" w:eastAsia="zh-CN"/>
        </w:rPr>
        <w:t>sent over SRB1 (as described in proposal 10)</w:t>
      </w:r>
      <w:r>
        <w:rPr>
          <w:rFonts w:eastAsia="宋体"/>
          <w:i/>
          <w:szCs w:val="20"/>
          <w:lang w:val="en-GB" w:eastAsia="zh-CN"/>
        </w:rPr>
        <w:t>.</w:t>
      </w:r>
    </w:p>
    <w:p>
      <w:pPr>
        <w:jc w:val="both"/>
        <w:rPr>
          <w:rFonts w:eastAsia="宋体"/>
          <w:i/>
          <w:szCs w:val="20"/>
          <w:lang w:val="en-GB" w:eastAsia="zh-CN"/>
        </w:rPr>
      </w:pPr>
      <w:r>
        <w:rPr>
          <w:rFonts w:eastAsia="宋体"/>
          <w:i/>
          <w:szCs w:val="20"/>
          <w:lang w:val="en-GB" w:eastAsia="zh-CN"/>
        </w:rPr>
        <w:t>Agreements at RAN2#99bis meeting:</w:t>
      </w:r>
    </w:p>
    <w:p>
      <w:pPr>
        <w:jc w:val="both"/>
        <w:rPr>
          <w:rFonts w:eastAsia="宋体"/>
          <w:i/>
          <w:szCs w:val="20"/>
          <w:lang w:eastAsia="zh-CN"/>
        </w:rPr>
      </w:pPr>
      <w:r>
        <w:rPr>
          <w:rFonts w:eastAsia="宋体"/>
          <w:i/>
          <w:szCs w:val="20"/>
          <w:lang w:eastAsia="zh-CN"/>
        </w:rPr>
        <w:t>5</w:t>
      </w:r>
      <w:r>
        <w:rPr>
          <w:rFonts w:eastAsia="宋体"/>
          <w:i/>
          <w:szCs w:val="20"/>
          <w:lang w:eastAsia="zh-CN"/>
        </w:rPr>
        <w:tab/>
      </w:r>
      <w:r>
        <w:rPr>
          <w:rFonts w:eastAsia="宋体"/>
          <w:i/>
          <w:szCs w:val="20"/>
          <w:lang w:eastAsia="zh-CN"/>
        </w:rPr>
        <w:t xml:space="preserve">A UE in INACTIVE, trying to resume the RRC connection, can receive </w:t>
      </w:r>
      <w:r>
        <w:rPr>
          <w:rFonts w:eastAsia="宋体"/>
          <w:i/>
          <w:szCs w:val="20"/>
          <w:highlight w:val="yellow"/>
          <w:lang w:eastAsia="zh-CN"/>
        </w:rPr>
        <w:t>MSG4 sent over SRB1</w:t>
      </w:r>
      <w:r>
        <w:rPr>
          <w:rFonts w:eastAsia="宋体"/>
          <w:i/>
          <w:szCs w:val="20"/>
          <w:lang w:eastAsia="zh-CN"/>
        </w:rPr>
        <w:t xml:space="preserve"> with at least integrity protection to move the UE into IDLE.</w:t>
      </w:r>
    </w:p>
    <w:p>
      <w:pPr>
        <w:jc w:val="both"/>
        <w:rPr>
          <w:rFonts w:eastAsia="宋体"/>
          <w:i/>
          <w:szCs w:val="20"/>
          <w:lang w:eastAsia="zh-CN"/>
        </w:rPr>
      </w:pPr>
    </w:p>
    <w:p>
      <w:pPr>
        <w:pStyle w:val="14"/>
        <w:jc w:val="both"/>
        <w:rPr>
          <w:rFonts w:eastAsia="宋体"/>
          <w:b/>
          <w:lang w:eastAsia="zh-CN"/>
        </w:rPr>
      </w:pPr>
      <w:bookmarkStart w:id="9" w:name="_Ref498605500"/>
      <w:r>
        <w:rPr>
          <w:b/>
        </w:rPr>
        <w:t xml:space="preserve">Observation </w:t>
      </w:r>
      <w:r>
        <w:rPr>
          <w:b/>
        </w:rPr>
        <w:fldChar w:fldCharType="begin"/>
      </w:r>
      <w:r>
        <w:rPr>
          <w:b/>
        </w:rPr>
        <w:instrText xml:space="preserve"> SEQ Observation \* ARABIC </w:instrText>
      </w:r>
      <w:r>
        <w:rPr>
          <w:b/>
        </w:rPr>
        <w:fldChar w:fldCharType="separate"/>
      </w:r>
      <w:r>
        <w:rPr>
          <w:b/>
        </w:rPr>
        <w:t>1</w:t>
      </w:r>
      <w:r>
        <w:rPr>
          <w:b/>
        </w:rPr>
        <w:fldChar w:fldCharType="end"/>
      </w:r>
      <w:r>
        <w:rPr>
          <w:rFonts w:eastAsia="宋体"/>
          <w:b/>
          <w:lang w:eastAsia="zh-CN"/>
        </w:rPr>
        <w:tab/>
      </w:r>
      <w:r>
        <w:rPr>
          <w:rFonts w:eastAsia="宋体"/>
          <w:b/>
          <w:lang w:eastAsia="zh-CN"/>
        </w:rPr>
        <w:t>The RRC message used for transition from INACTIVE to IDLE, CONNECTED to IDLE, and CONNECTED to INACTIVE are sent over the same logical channel (i.e. DCCH) and radio bear (i.e. SRB1).</w:t>
      </w:r>
      <w:bookmarkEnd w:id="9"/>
    </w:p>
    <w:p>
      <w:pPr>
        <w:jc w:val="both"/>
        <w:rPr>
          <w:rFonts w:eastAsia="宋体"/>
          <w:i/>
          <w:szCs w:val="20"/>
          <w:lang w:val="en-GB" w:eastAsia="zh-CN"/>
        </w:rPr>
      </w:pPr>
      <w:r>
        <w:rPr>
          <w:rFonts w:hint="eastAsia" w:eastAsia="宋体"/>
          <w:i/>
          <w:szCs w:val="20"/>
          <w:lang w:val="en-GB" w:eastAsia="zh-CN"/>
        </w:rPr>
        <w:t>Agreement</w:t>
      </w:r>
      <w:r>
        <w:rPr>
          <w:rFonts w:eastAsia="宋体"/>
          <w:i/>
          <w:szCs w:val="20"/>
          <w:lang w:val="en-GB" w:eastAsia="zh-CN"/>
        </w:rPr>
        <w:t>s at RAN2#99 meeting:</w:t>
      </w:r>
    </w:p>
    <w:p>
      <w:pPr>
        <w:jc w:val="both"/>
        <w:rPr>
          <w:i/>
        </w:rPr>
      </w:pPr>
      <w:r>
        <w:rPr>
          <w:i/>
        </w:rPr>
        <w:t>11.</w:t>
      </w:r>
      <w:r>
        <w:rPr>
          <w:i/>
        </w:rPr>
        <w:tab/>
      </w:r>
      <w:r>
        <w:rPr>
          <w:i/>
        </w:rPr>
        <w:t xml:space="preserve">RRC Connection Release kind of message </w:t>
      </w:r>
      <w:r>
        <w:rPr>
          <w:i/>
          <w:highlight w:val="yellow"/>
        </w:rPr>
        <w:t>can include release cause information, redirect carrier frequency and idle mode mobility control information</w:t>
      </w:r>
      <w:r>
        <w:rPr>
          <w:i/>
        </w:rPr>
        <w:t>.</w:t>
      </w:r>
    </w:p>
    <w:p>
      <w:pPr>
        <w:jc w:val="both"/>
        <w:rPr>
          <w:rFonts w:eastAsia="宋体"/>
          <w:i/>
          <w:lang w:eastAsia="zh-CN"/>
        </w:rPr>
      </w:pPr>
      <w:r>
        <w:rPr>
          <w:i/>
          <w:lang w:val="en-GB"/>
        </w:rPr>
        <w:t>27</w:t>
      </w:r>
      <w:r>
        <w:rPr>
          <w:i/>
          <w:lang w:val="en-GB"/>
        </w:rPr>
        <w:tab/>
      </w:r>
      <w:r>
        <w:rPr>
          <w:i/>
          <w:lang w:val="en-GB"/>
        </w:rPr>
        <w:t xml:space="preserve">For CONNECTED to INACTIVE RRC transition, the RRC Connection Release kind of message </w:t>
      </w:r>
      <w:r>
        <w:rPr>
          <w:i/>
          <w:highlight w:val="yellow"/>
          <w:lang w:val="en-GB"/>
        </w:rPr>
        <w:t xml:space="preserve">includes (a) the same information as listed in proposal 11 (i.e. cause information, redirect carrier frequency and mobility control information), and can include (b) UE identity (or UE context identity), and optionally (c) suspension/inactivation indication (FFS if implicitly or explicitly), (d) RAN configured DRX cycle, (e) RAN </w:t>
      </w:r>
      <w:r>
        <w:rPr>
          <w:rFonts w:eastAsia="宋体"/>
          <w:i/>
          <w:szCs w:val="20"/>
          <w:highlight w:val="yellow"/>
          <w:lang w:val="en-GB" w:eastAsia="zh-CN"/>
        </w:rPr>
        <w:t>periodic notification timer, and (f) RAN notification area.</w:t>
      </w:r>
    </w:p>
    <w:p>
      <w:pPr>
        <w:jc w:val="both"/>
        <w:rPr>
          <w:rFonts w:eastAsia="宋体"/>
          <w:i/>
          <w:lang w:eastAsia="zh-CN"/>
        </w:rPr>
      </w:pPr>
      <w:r>
        <w:rPr>
          <w:rFonts w:hint="eastAsia" w:eastAsia="宋体"/>
          <w:i/>
          <w:szCs w:val="20"/>
          <w:lang w:val="en-GB" w:eastAsia="zh-CN"/>
        </w:rPr>
        <w:t>Agreement</w:t>
      </w:r>
      <w:r>
        <w:rPr>
          <w:rFonts w:eastAsia="宋体"/>
          <w:i/>
          <w:szCs w:val="20"/>
          <w:lang w:val="en-GB" w:eastAsia="zh-CN"/>
        </w:rPr>
        <w:t>s at RAN2#99bis meeting:</w:t>
      </w:r>
    </w:p>
    <w:p>
      <w:pPr>
        <w:jc w:val="both"/>
        <w:rPr>
          <w:rFonts w:eastAsia="宋体"/>
          <w:i/>
          <w:szCs w:val="20"/>
          <w:highlight w:val="yellow"/>
          <w:lang w:val="en-GB" w:eastAsia="zh-CN"/>
        </w:rPr>
      </w:pPr>
      <w:r>
        <w:rPr>
          <w:rFonts w:eastAsia="宋体"/>
          <w:i/>
          <w:szCs w:val="20"/>
          <w:lang w:val="en-GB" w:eastAsia="zh-CN"/>
        </w:rPr>
        <w:t>5.1</w:t>
      </w:r>
      <w:r>
        <w:rPr>
          <w:rFonts w:eastAsia="宋体"/>
          <w:i/>
          <w:szCs w:val="20"/>
          <w:lang w:val="en-GB" w:eastAsia="zh-CN"/>
        </w:rPr>
        <w:tab/>
      </w:r>
      <w:r>
        <w:rPr>
          <w:rFonts w:eastAsia="宋体"/>
          <w:i/>
          <w:szCs w:val="20"/>
          <w:lang w:val="en-GB" w:eastAsia="zh-CN"/>
        </w:rPr>
        <w:t xml:space="preserve">This MSG4 (i.e. SRB1 release to IDLE) can carry </w:t>
      </w:r>
      <w:r>
        <w:rPr>
          <w:rFonts w:eastAsia="宋体"/>
          <w:i/>
          <w:szCs w:val="20"/>
          <w:highlight w:val="yellow"/>
          <w:lang w:val="en-GB" w:eastAsia="zh-CN"/>
        </w:rPr>
        <w:t>same information</w:t>
      </w:r>
      <w:r>
        <w:rPr>
          <w:rFonts w:eastAsia="宋体"/>
          <w:i/>
          <w:szCs w:val="20"/>
          <w:lang w:val="en-GB" w:eastAsia="zh-CN"/>
        </w:rPr>
        <w:t xml:space="preserve"> as RRC Connection release kind of message </w:t>
      </w:r>
      <w:r>
        <w:rPr>
          <w:rFonts w:eastAsia="宋体"/>
          <w:i/>
          <w:szCs w:val="20"/>
          <w:highlight w:val="yellow"/>
          <w:lang w:val="en-GB" w:eastAsia="zh-CN"/>
        </w:rPr>
        <w:t>(e.g. priority, redirect information, idle mode mobility control information, cause and idle mode re-selection information).</w:t>
      </w:r>
    </w:p>
    <w:p>
      <w:pPr>
        <w:jc w:val="both"/>
        <w:rPr>
          <w:rFonts w:hint="eastAsia" w:eastAsia="宋体"/>
          <w:i/>
          <w:szCs w:val="20"/>
          <w:highlight w:val="none"/>
          <w:lang w:val="en-US" w:eastAsia="zh-CN"/>
        </w:rPr>
      </w:pPr>
      <w:r>
        <w:rPr>
          <w:rFonts w:hint="eastAsia" w:eastAsia="宋体"/>
          <w:i/>
          <w:szCs w:val="20"/>
          <w:highlight w:val="none"/>
          <w:lang w:val="en-US" w:eastAsia="zh-CN"/>
        </w:rPr>
        <w:t>Agreements at RAN2#101 meeting:</w:t>
      </w:r>
      <w:bookmarkStart w:id="24" w:name="_GoBack"/>
      <w:bookmarkEnd w:id="24"/>
    </w:p>
    <w:p>
      <w:pPr>
        <w:jc w:val="both"/>
        <w:rPr>
          <w:rFonts w:hint="eastAsia" w:eastAsia="宋体"/>
          <w:i/>
          <w:szCs w:val="20"/>
          <w:highlight w:val="none"/>
          <w:lang w:val="en-US" w:eastAsia="zh-CN"/>
        </w:rPr>
      </w:pPr>
      <w:r>
        <w:rPr>
          <w:rFonts w:hint="eastAsia" w:eastAsia="宋体"/>
          <w:i/>
          <w:szCs w:val="20"/>
          <w:highlight w:val="none"/>
          <w:lang w:val="en-US" w:eastAsia="zh-CN"/>
        </w:rPr>
        <w:t>10</w:t>
      </w:r>
      <w:r>
        <w:rPr>
          <w:rFonts w:hint="eastAsia" w:eastAsia="宋体"/>
          <w:i/>
          <w:szCs w:val="20"/>
          <w:highlight w:val="none"/>
          <w:lang w:val="en-US" w:eastAsia="zh-CN"/>
        </w:rPr>
        <w:tab/>
      </w:r>
      <w:r>
        <w:rPr>
          <w:rFonts w:hint="eastAsia" w:eastAsia="宋体"/>
          <w:i/>
          <w:szCs w:val="20"/>
          <w:highlight w:val="yellow"/>
          <w:lang w:val="en-US" w:eastAsia="zh-CN"/>
        </w:rPr>
        <w:t>RNA is mandatory</w:t>
      </w:r>
      <w:r>
        <w:rPr>
          <w:rFonts w:hint="eastAsia" w:eastAsia="宋体"/>
          <w:i/>
          <w:szCs w:val="20"/>
          <w:highlight w:val="none"/>
          <w:lang w:val="en-US" w:eastAsia="zh-CN"/>
        </w:rPr>
        <w:t xml:space="preserve"> configured for the inactive UEs for Rel-15; (May be re-discussed after the discussion of the interaction between RANU and TAU)</w:t>
      </w:r>
    </w:p>
    <w:p>
      <w:pPr>
        <w:jc w:val="both"/>
        <w:rPr>
          <w:rFonts w:eastAsia="宋体"/>
          <w:lang w:eastAsia="zh-CN"/>
        </w:rPr>
      </w:pPr>
    </w:p>
    <w:p>
      <w:pPr>
        <w:jc w:val="both"/>
        <w:rPr>
          <w:rFonts w:eastAsia="宋体"/>
          <w:lang w:eastAsia="zh-CN"/>
        </w:rPr>
      </w:pPr>
      <w:r>
        <w:rPr>
          <w:rFonts w:eastAsia="宋体"/>
          <w:szCs w:val="20"/>
          <w:lang w:val="en-GB" w:eastAsia="zh-CN"/>
        </w:rPr>
        <w:fldChar w:fldCharType="begin"/>
      </w:r>
      <w:r>
        <w:rPr>
          <w:rFonts w:eastAsia="宋体"/>
          <w:szCs w:val="20"/>
          <w:lang w:val="en-GB" w:eastAsia="zh-CN"/>
        </w:rPr>
        <w:instrText xml:space="preserve"> REF _Ref498637831 \h </w:instrText>
      </w:r>
      <w:r>
        <w:rPr>
          <w:rFonts w:eastAsia="宋体"/>
          <w:szCs w:val="20"/>
          <w:lang w:val="en-GB" w:eastAsia="zh-CN"/>
        </w:rPr>
        <w:fldChar w:fldCharType="separate"/>
      </w:r>
      <w:r>
        <w:rPr>
          <w:b/>
        </w:rPr>
        <w:t>Table 1</w:t>
      </w:r>
      <w:r>
        <w:rPr>
          <w:rFonts w:eastAsia="宋体"/>
          <w:szCs w:val="20"/>
          <w:lang w:val="en-GB" w:eastAsia="zh-CN"/>
        </w:rPr>
        <w:fldChar w:fldCharType="end"/>
      </w:r>
      <w:r>
        <w:rPr>
          <w:rFonts w:eastAsia="宋体"/>
          <w:szCs w:val="20"/>
          <w:lang w:val="en-GB" w:eastAsia="zh-CN"/>
        </w:rPr>
        <w:t xml:space="preserve"> is given to compare the content that can be carried for different RRC state transition procedures based on above agreements.</w:t>
      </w:r>
    </w:p>
    <w:p>
      <w:pPr>
        <w:pStyle w:val="14"/>
        <w:jc w:val="center"/>
      </w:pPr>
      <w:bookmarkStart w:id="10" w:name="_Ref494436445"/>
      <w:bookmarkStart w:id="11" w:name="_Ref494436424"/>
    </w:p>
    <w:p>
      <w:pPr>
        <w:pStyle w:val="14"/>
        <w:jc w:val="center"/>
      </w:pPr>
      <w:bookmarkStart w:id="12" w:name="_Ref498637831"/>
      <w:r>
        <w:rPr>
          <w:b/>
        </w:rPr>
        <w:t xml:space="preserve">Table </w:t>
      </w:r>
      <w:r>
        <w:rPr>
          <w:b/>
        </w:rPr>
        <w:fldChar w:fldCharType="begin"/>
      </w:r>
      <w:r>
        <w:rPr>
          <w:b/>
        </w:rPr>
        <w:instrText xml:space="preserve"> SEQ Table \* ARABIC </w:instrText>
      </w:r>
      <w:r>
        <w:rPr>
          <w:b/>
        </w:rPr>
        <w:fldChar w:fldCharType="separate"/>
      </w:r>
      <w:r>
        <w:rPr>
          <w:b/>
        </w:rPr>
        <w:t>1</w:t>
      </w:r>
      <w:r>
        <w:rPr>
          <w:b/>
        </w:rPr>
        <w:fldChar w:fldCharType="end"/>
      </w:r>
      <w:bookmarkEnd w:id="10"/>
      <w:bookmarkEnd w:id="12"/>
      <w:r>
        <w:rPr>
          <w:b/>
        </w:rPr>
        <w:t xml:space="preserve">  RRC Connection Release kind of message </w:t>
      </w:r>
      <w:bookmarkEnd w:id="11"/>
      <w:r>
        <w:rPr>
          <w:b/>
        </w:rPr>
        <w:t>content for different RRC transition</w:t>
      </w:r>
    </w:p>
    <w:tbl>
      <w:tblPr>
        <w:tblStyle w:val="26"/>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6"/>
        <w:gridCol w:w="2637"/>
        <w:gridCol w:w="1928"/>
        <w:gridCol w:w="2424"/>
        <w:gridCol w:w="16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 w:hRule="atLeast"/>
        </w:trPr>
        <w:tc>
          <w:tcPr>
            <w:tcW w:w="616" w:type="dxa"/>
          </w:tcPr>
          <w:p>
            <w:pPr>
              <w:overflowPunct w:val="0"/>
              <w:autoSpaceDE w:val="0"/>
              <w:autoSpaceDN w:val="0"/>
              <w:adjustRightInd w:val="0"/>
              <w:spacing w:after="180"/>
              <w:jc w:val="both"/>
              <w:textAlignment w:val="baseline"/>
              <w:rPr>
                <w:rFonts w:ascii="Arial" w:hAnsi="Arial" w:eastAsia="宋体" w:cs="Arial"/>
                <w:b/>
                <w:sz w:val="18"/>
                <w:szCs w:val="18"/>
                <w:lang w:val="en-GB" w:eastAsia="zh-CN"/>
              </w:rPr>
            </w:pPr>
            <w:r>
              <w:rPr>
                <w:rFonts w:ascii="Arial" w:hAnsi="Arial" w:eastAsia="宋体" w:cs="Arial"/>
                <w:b/>
                <w:sz w:val="18"/>
                <w:szCs w:val="18"/>
                <w:lang w:val="en-GB" w:eastAsia="zh-CN"/>
              </w:rPr>
              <w:t>Num</w:t>
            </w:r>
          </w:p>
          <w:p>
            <w:pPr>
              <w:overflowPunct w:val="0"/>
              <w:autoSpaceDE w:val="0"/>
              <w:autoSpaceDN w:val="0"/>
              <w:adjustRightInd w:val="0"/>
              <w:spacing w:after="180"/>
              <w:jc w:val="both"/>
              <w:textAlignment w:val="baseline"/>
              <w:rPr>
                <w:rFonts w:ascii="Arial" w:hAnsi="Arial" w:eastAsia="宋体" w:cs="Arial"/>
                <w:b/>
                <w:sz w:val="18"/>
                <w:szCs w:val="18"/>
                <w:lang w:val="en-GB" w:eastAsia="zh-CN"/>
              </w:rPr>
            </w:pPr>
          </w:p>
        </w:tc>
        <w:tc>
          <w:tcPr>
            <w:tcW w:w="2637" w:type="dxa"/>
          </w:tcPr>
          <w:p>
            <w:pPr>
              <w:overflowPunct w:val="0"/>
              <w:autoSpaceDE w:val="0"/>
              <w:autoSpaceDN w:val="0"/>
              <w:adjustRightInd w:val="0"/>
              <w:spacing w:after="180"/>
              <w:jc w:val="both"/>
              <w:textAlignment w:val="baseline"/>
              <w:rPr>
                <w:rFonts w:ascii="Arial" w:hAnsi="Arial" w:eastAsia="宋体" w:cs="Arial"/>
                <w:b/>
                <w:sz w:val="18"/>
                <w:szCs w:val="18"/>
                <w:lang w:val="en-GB" w:eastAsia="zh-CN"/>
              </w:rPr>
            </w:pPr>
            <w:r>
              <w:rPr>
                <w:rFonts w:ascii="Arial" w:hAnsi="Arial" w:eastAsia="宋体" w:cs="Arial"/>
                <w:b/>
                <w:sz w:val="18"/>
                <w:szCs w:val="18"/>
                <w:lang w:val="en-GB" w:eastAsia="zh-CN"/>
              </w:rPr>
              <w:t>IE Description</w:t>
            </w:r>
          </w:p>
        </w:tc>
        <w:tc>
          <w:tcPr>
            <w:tcW w:w="1928" w:type="dxa"/>
          </w:tcPr>
          <w:p>
            <w:pPr>
              <w:overflowPunct w:val="0"/>
              <w:autoSpaceDE w:val="0"/>
              <w:autoSpaceDN w:val="0"/>
              <w:adjustRightInd w:val="0"/>
              <w:spacing w:after="180"/>
              <w:jc w:val="both"/>
              <w:textAlignment w:val="baseline"/>
              <w:rPr>
                <w:rFonts w:ascii="Arial" w:hAnsi="Arial" w:cs="Arial"/>
                <w:b/>
                <w:sz w:val="18"/>
                <w:szCs w:val="18"/>
                <w:lang w:val="en-GB"/>
              </w:rPr>
            </w:pPr>
            <w:r>
              <w:rPr>
                <w:rFonts w:ascii="Arial" w:hAnsi="Arial" w:cs="Arial"/>
                <w:b/>
                <w:sz w:val="18"/>
                <w:szCs w:val="18"/>
                <w:lang w:val="en-GB"/>
              </w:rPr>
              <w:t xml:space="preserve">CONNECTED to IDLE </w:t>
            </w:r>
          </w:p>
        </w:tc>
        <w:tc>
          <w:tcPr>
            <w:tcW w:w="2424" w:type="dxa"/>
          </w:tcPr>
          <w:p>
            <w:pPr>
              <w:overflowPunct w:val="0"/>
              <w:autoSpaceDE w:val="0"/>
              <w:autoSpaceDN w:val="0"/>
              <w:adjustRightInd w:val="0"/>
              <w:spacing w:after="180"/>
              <w:jc w:val="both"/>
              <w:textAlignment w:val="baseline"/>
              <w:rPr>
                <w:rFonts w:ascii="Arial" w:hAnsi="Arial" w:eastAsia="宋体" w:cs="Arial"/>
                <w:b/>
                <w:sz w:val="18"/>
                <w:szCs w:val="18"/>
                <w:lang w:val="en-GB" w:eastAsia="zh-CN"/>
              </w:rPr>
            </w:pPr>
            <w:r>
              <w:rPr>
                <w:rFonts w:ascii="Arial" w:hAnsi="Arial" w:cs="Arial"/>
                <w:b/>
                <w:sz w:val="18"/>
                <w:szCs w:val="18"/>
                <w:lang w:val="en-GB"/>
              </w:rPr>
              <w:t>CONNECTED to INACTIVE</w:t>
            </w:r>
          </w:p>
        </w:tc>
        <w:tc>
          <w:tcPr>
            <w:tcW w:w="1681" w:type="dxa"/>
          </w:tcPr>
          <w:p>
            <w:pPr>
              <w:overflowPunct w:val="0"/>
              <w:autoSpaceDE w:val="0"/>
              <w:autoSpaceDN w:val="0"/>
              <w:adjustRightInd w:val="0"/>
              <w:spacing w:after="180"/>
              <w:jc w:val="both"/>
              <w:textAlignment w:val="baseline"/>
              <w:rPr>
                <w:rFonts w:ascii="Arial" w:hAnsi="Arial" w:eastAsia="宋体" w:cs="Arial"/>
                <w:b/>
                <w:sz w:val="18"/>
                <w:szCs w:val="18"/>
                <w:lang w:val="en-GB" w:eastAsia="zh-CN"/>
              </w:rPr>
            </w:pPr>
            <w:r>
              <w:rPr>
                <w:rFonts w:hint="eastAsia" w:ascii="Arial" w:hAnsi="Arial" w:cs="Arial"/>
                <w:b/>
                <w:sz w:val="18"/>
                <w:szCs w:val="18"/>
                <w:lang w:val="en-GB"/>
              </w:rPr>
              <w:t>INACTIVE</w:t>
            </w:r>
            <w:r>
              <w:rPr>
                <w:rFonts w:ascii="Arial" w:hAnsi="Arial" w:cs="Arial"/>
                <w:b/>
                <w:sz w:val="18"/>
                <w:szCs w:val="18"/>
                <w:lang w:val="en-GB"/>
              </w:rPr>
              <w:t xml:space="preserve"> </w:t>
            </w:r>
            <w:r>
              <w:rPr>
                <w:rFonts w:hint="eastAsia" w:ascii="Arial" w:hAnsi="Arial" w:cs="Arial"/>
                <w:b/>
                <w:sz w:val="18"/>
                <w:szCs w:val="18"/>
                <w:lang w:val="en-GB"/>
              </w:rPr>
              <w:t>to</w:t>
            </w:r>
            <w:r>
              <w:rPr>
                <w:rFonts w:ascii="Arial" w:hAnsi="Arial" w:cs="Arial"/>
                <w:b/>
                <w:sz w:val="18"/>
                <w:szCs w:val="18"/>
                <w:lang w:val="en-GB"/>
              </w:rPr>
              <w:t xml:space="preserve"> IDLE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6" w:type="dxa"/>
          </w:tcPr>
          <w:p>
            <w:pPr>
              <w:overflowPunct w:val="0"/>
              <w:autoSpaceDE w:val="0"/>
              <w:autoSpaceDN w:val="0"/>
              <w:adjustRightInd w:val="0"/>
              <w:spacing w:after="180"/>
              <w:jc w:val="both"/>
              <w:textAlignment w:val="baseline"/>
              <w:rPr>
                <w:rFonts w:ascii="Arial" w:hAnsi="Arial" w:eastAsia="等线" w:cs="Arial"/>
                <w:sz w:val="18"/>
                <w:szCs w:val="18"/>
                <w:lang w:val="en-GB" w:eastAsia="zh-CN"/>
              </w:rPr>
            </w:pPr>
            <w:r>
              <w:rPr>
                <w:rFonts w:ascii="Arial" w:hAnsi="Arial" w:eastAsia="等线" w:cs="Arial"/>
                <w:sz w:val="18"/>
                <w:szCs w:val="18"/>
                <w:lang w:val="en-GB" w:eastAsia="zh-CN"/>
              </w:rPr>
              <w:t>1</w:t>
            </w:r>
          </w:p>
        </w:tc>
        <w:tc>
          <w:tcPr>
            <w:tcW w:w="2637" w:type="dxa"/>
          </w:tcPr>
          <w:p>
            <w:pPr>
              <w:overflowPunct w:val="0"/>
              <w:autoSpaceDE w:val="0"/>
              <w:autoSpaceDN w:val="0"/>
              <w:adjustRightInd w:val="0"/>
              <w:spacing w:after="180"/>
              <w:jc w:val="both"/>
              <w:textAlignment w:val="baseline"/>
              <w:rPr>
                <w:rFonts w:ascii="Arial" w:hAnsi="Arial" w:eastAsia="宋体" w:cs="Arial"/>
                <w:b/>
                <w:sz w:val="18"/>
                <w:szCs w:val="18"/>
                <w:lang w:val="en-GB" w:eastAsia="zh-CN"/>
              </w:rPr>
            </w:pPr>
            <w:r>
              <w:rPr>
                <w:rFonts w:ascii="Arial" w:hAnsi="Arial" w:cs="Arial"/>
                <w:sz w:val="18"/>
                <w:szCs w:val="18"/>
                <w:lang w:val="en-GB"/>
              </w:rPr>
              <w:t>release cause information</w:t>
            </w:r>
          </w:p>
        </w:tc>
        <w:tc>
          <w:tcPr>
            <w:tcW w:w="1928" w:type="dxa"/>
          </w:tcPr>
          <w:p>
            <w:pPr>
              <w:overflowPunct w:val="0"/>
              <w:autoSpaceDE w:val="0"/>
              <w:autoSpaceDN w:val="0"/>
              <w:adjustRightInd w:val="0"/>
              <w:spacing w:after="180"/>
              <w:jc w:val="both"/>
              <w:textAlignment w:val="baseline"/>
              <w:rPr>
                <w:rFonts w:ascii="Arial" w:hAnsi="Arial" w:eastAsia="宋体" w:cs="Arial"/>
                <w:sz w:val="18"/>
                <w:szCs w:val="18"/>
                <w:lang w:val="en-GB" w:eastAsia="zh-CN"/>
              </w:rPr>
            </w:pPr>
            <w:r>
              <w:rPr>
                <w:rFonts w:ascii="Arial" w:hAnsi="Arial" w:eastAsia="宋体" w:cs="Arial"/>
                <w:sz w:val="18"/>
                <w:szCs w:val="18"/>
                <w:lang w:val="en-GB" w:eastAsia="zh-CN"/>
              </w:rPr>
              <w:t>M</w:t>
            </w:r>
          </w:p>
        </w:tc>
        <w:tc>
          <w:tcPr>
            <w:tcW w:w="2424" w:type="dxa"/>
          </w:tcPr>
          <w:p>
            <w:pPr>
              <w:overflowPunct w:val="0"/>
              <w:autoSpaceDE w:val="0"/>
              <w:autoSpaceDN w:val="0"/>
              <w:adjustRightInd w:val="0"/>
              <w:spacing w:after="180"/>
              <w:jc w:val="both"/>
              <w:textAlignment w:val="baseline"/>
              <w:rPr>
                <w:rFonts w:ascii="Arial" w:hAnsi="Arial" w:eastAsia="宋体" w:cs="Arial"/>
                <w:sz w:val="18"/>
                <w:szCs w:val="18"/>
                <w:lang w:val="en-GB" w:eastAsia="zh-CN"/>
              </w:rPr>
            </w:pPr>
            <w:r>
              <w:rPr>
                <w:rFonts w:ascii="Arial" w:hAnsi="Arial" w:eastAsia="宋体" w:cs="Arial"/>
                <w:sz w:val="18"/>
                <w:szCs w:val="18"/>
                <w:lang w:val="en-GB" w:eastAsia="zh-CN"/>
              </w:rPr>
              <w:t>M</w:t>
            </w:r>
          </w:p>
        </w:tc>
        <w:tc>
          <w:tcPr>
            <w:tcW w:w="1681" w:type="dxa"/>
          </w:tcPr>
          <w:p>
            <w:pPr>
              <w:overflowPunct w:val="0"/>
              <w:autoSpaceDE w:val="0"/>
              <w:autoSpaceDN w:val="0"/>
              <w:adjustRightInd w:val="0"/>
              <w:spacing w:after="180"/>
              <w:jc w:val="both"/>
              <w:textAlignment w:val="baseline"/>
              <w:rPr>
                <w:rFonts w:ascii="Arial" w:hAnsi="Arial" w:eastAsia="宋体" w:cs="Arial"/>
                <w:sz w:val="18"/>
                <w:szCs w:val="18"/>
                <w:lang w:val="en-GB" w:eastAsia="zh-CN"/>
              </w:rPr>
            </w:pPr>
            <w:r>
              <w:rPr>
                <w:rFonts w:ascii="Arial" w:hAnsi="Arial" w:eastAsia="宋体" w:cs="Arial"/>
                <w:sz w:val="18"/>
                <w:szCs w:val="18"/>
                <w:lang w:val="en-GB"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6" w:type="dxa"/>
          </w:tcPr>
          <w:p>
            <w:pPr>
              <w:overflowPunct w:val="0"/>
              <w:autoSpaceDE w:val="0"/>
              <w:autoSpaceDN w:val="0"/>
              <w:adjustRightInd w:val="0"/>
              <w:spacing w:after="180"/>
              <w:jc w:val="both"/>
              <w:textAlignment w:val="baseline"/>
              <w:rPr>
                <w:rFonts w:ascii="Arial" w:hAnsi="Arial" w:eastAsia="等线" w:cs="Arial"/>
                <w:sz w:val="18"/>
                <w:szCs w:val="18"/>
                <w:lang w:val="en-GB" w:eastAsia="zh-CN"/>
              </w:rPr>
            </w:pPr>
            <w:r>
              <w:rPr>
                <w:rFonts w:ascii="Arial" w:hAnsi="Arial" w:eastAsia="等线" w:cs="Arial"/>
                <w:sz w:val="18"/>
                <w:szCs w:val="18"/>
                <w:lang w:val="en-GB" w:eastAsia="zh-CN"/>
              </w:rPr>
              <w:t>2</w:t>
            </w:r>
          </w:p>
        </w:tc>
        <w:tc>
          <w:tcPr>
            <w:tcW w:w="2637" w:type="dxa"/>
          </w:tcPr>
          <w:p>
            <w:pPr>
              <w:overflowPunct w:val="0"/>
              <w:autoSpaceDE w:val="0"/>
              <w:autoSpaceDN w:val="0"/>
              <w:adjustRightInd w:val="0"/>
              <w:spacing w:after="180"/>
              <w:jc w:val="both"/>
              <w:textAlignment w:val="baseline"/>
              <w:rPr>
                <w:rFonts w:ascii="Arial" w:hAnsi="Arial" w:eastAsia="宋体" w:cs="Arial"/>
                <w:b/>
                <w:sz w:val="18"/>
                <w:szCs w:val="18"/>
                <w:lang w:val="en-GB" w:eastAsia="zh-CN"/>
              </w:rPr>
            </w:pPr>
            <w:r>
              <w:rPr>
                <w:rFonts w:ascii="Arial" w:hAnsi="Arial" w:cs="Arial"/>
                <w:sz w:val="18"/>
                <w:szCs w:val="18"/>
                <w:lang w:val="en-GB"/>
              </w:rPr>
              <w:t>redirect carrier frequency</w:t>
            </w:r>
          </w:p>
        </w:tc>
        <w:tc>
          <w:tcPr>
            <w:tcW w:w="1928" w:type="dxa"/>
          </w:tcPr>
          <w:p>
            <w:pPr>
              <w:overflowPunct w:val="0"/>
              <w:autoSpaceDE w:val="0"/>
              <w:autoSpaceDN w:val="0"/>
              <w:adjustRightInd w:val="0"/>
              <w:spacing w:after="180"/>
              <w:jc w:val="both"/>
              <w:textAlignment w:val="baseline"/>
              <w:rPr>
                <w:rFonts w:ascii="Arial" w:hAnsi="Arial" w:eastAsia="宋体" w:cs="Arial"/>
                <w:sz w:val="18"/>
                <w:szCs w:val="18"/>
                <w:lang w:val="en-GB" w:eastAsia="zh-CN"/>
              </w:rPr>
            </w:pPr>
            <w:r>
              <w:rPr>
                <w:rFonts w:ascii="Arial" w:hAnsi="Arial" w:eastAsia="宋体" w:cs="Arial"/>
                <w:sz w:val="18"/>
                <w:szCs w:val="18"/>
                <w:lang w:val="en-GB" w:eastAsia="zh-CN"/>
              </w:rPr>
              <w:t>M</w:t>
            </w:r>
          </w:p>
        </w:tc>
        <w:tc>
          <w:tcPr>
            <w:tcW w:w="2424" w:type="dxa"/>
          </w:tcPr>
          <w:p>
            <w:pPr>
              <w:overflowPunct w:val="0"/>
              <w:autoSpaceDE w:val="0"/>
              <w:autoSpaceDN w:val="0"/>
              <w:adjustRightInd w:val="0"/>
              <w:spacing w:after="180"/>
              <w:jc w:val="both"/>
              <w:textAlignment w:val="baseline"/>
              <w:rPr>
                <w:rFonts w:ascii="Arial" w:hAnsi="Arial" w:eastAsia="宋体" w:cs="Arial"/>
                <w:sz w:val="18"/>
                <w:szCs w:val="18"/>
                <w:lang w:val="en-GB" w:eastAsia="zh-CN"/>
              </w:rPr>
            </w:pPr>
            <w:r>
              <w:rPr>
                <w:rFonts w:ascii="Arial" w:hAnsi="Arial" w:eastAsia="宋体" w:cs="Arial"/>
                <w:sz w:val="18"/>
                <w:szCs w:val="18"/>
                <w:lang w:val="en-GB" w:eastAsia="zh-CN"/>
              </w:rPr>
              <w:t>M</w:t>
            </w:r>
          </w:p>
        </w:tc>
        <w:tc>
          <w:tcPr>
            <w:tcW w:w="1681" w:type="dxa"/>
          </w:tcPr>
          <w:p>
            <w:pPr>
              <w:overflowPunct w:val="0"/>
              <w:autoSpaceDE w:val="0"/>
              <w:autoSpaceDN w:val="0"/>
              <w:adjustRightInd w:val="0"/>
              <w:spacing w:after="180"/>
              <w:jc w:val="both"/>
              <w:textAlignment w:val="baseline"/>
              <w:rPr>
                <w:rFonts w:ascii="Arial" w:hAnsi="Arial" w:eastAsia="宋体" w:cs="Arial"/>
                <w:sz w:val="18"/>
                <w:szCs w:val="18"/>
                <w:lang w:val="en-GB" w:eastAsia="zh-CN"/>
              </w:rPr>
            </w:pPr>
            <w:r>
              <w:rPr>
                <w:rFonts w:ascii="Arial" w:hAnsi="Arial" w:eastAsia="宋体" w:cs="Arial"/>
                <w:sz w:val="18"/>
                <w:szCs w:val="18"/>
                <w:lang w:val="en-GB"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6" w:type="dxa"/>
          </w:tcPr>
          <w:p>
            <w:pPr>
              <w:overflowPunct w:val="0"/>
              <w:autoSpaceDE w:val="0"/>
              <w:autoSpaceDN w:val="0"/>
              <w:adjustRightInd w:val="0"/>
              <w:spacing w:after="180"/>
              <w:jc w:val="both"/>
              <w:textAlignment w:val="baseline"/>
              <w:rPr>
                <w:rFonts w:ascii="Arial" w:hAnsi="Arial" w:eastAsia="等线" w:cs="Arial"/>
                <w:sz w:val="18"/>
                <w:szCs w:val="18"/>
                <w:lang w:eastAsia="zh-CN"/>
              </w:rPr>
            </w:pPr>
            <w:r>
              <w:rPr>
                <w:rFonts w:ascii="Arial" w:hAnsi="Arial" w:eastAsia="等线" w:cs="Arial"/>
                <w:sz w:val="18"/>
                <w:szCs w:val="18"/>
                <w:lang w:eastAsia="zh-CN"/>
              </w:rPr>
              <w:t>3</w:t>
            </w:r>
          </w:p>
        </w:tc>
        <w:tc>
          <w:tcPr>
            <w:tcW w:w="2637" w:type="dxa"/>
          </w:tcPr>
          <w:p>
            <w:pPr>
              <w:pStyle w:val="63"/>
              <w:rPr>
                <w:rFonts w:ascii="Arial" w:hAnsi="Arial" w:cs="Arial"/>
                <w:sz w:val="18"/>
                <w:szCs w:val="18"/>
              </w:rPr>
            </w:pPr>
            <w:r>
              <w:rPr>
                <w:rFonts w:ascii="Arial" w:hAnsi="Arial" w:eastAsia="Times New Roman" w:cs="Arial"/>
                <w:kern w:val="0"/>
                <w:sz w:val="18"/>
                <w:szCs w:val="18"/>
                <w:lang w:val="en-GB" w:eastAsia="en-US"/>
              </w:rPr>
              <w:t>mobility control information</w:t>
            </w:r>
          </w:p>
        </w:tc>
        <w:tc>
          <w:tcPr>
            <w:tcW w:w="1928" w:type="dxa"/>
          </w:tcPr>
          <w:p>
            <w:pPr>
              <w:overflowPunct w:val="0"/>
              <w:autoSpaceDE w:val="0"/>
              <w:autoSpaceDN w:val="0"/>
              <w:adjustRightInd w:val="0"/>
              <w:spacing w:after="180"/>
              <w:jc w:val="both"/>
              <w:textAlignment w:val="baseline"/>
              <w:rPr>
                <w:rFonts w:ascii="Arial" w:hAnsi="Arial" w:eastAsia="宋体" w:cs="Arial"/>
                <w:sz w:val="18"/>
                <w:szCs w:val="18"/>
                <w:lang w:eastAsia="zh-CN"/>
              </w:rPr>
            </w:pPr>
            <w:r>
              <w:rPr>
                <w:rFonts w:hint="eastAsia" w:ascii="Arial" w:hAnsi="Arial" w:eastAsia="宋体" w:cs="Arial"/>
                <w:sz w:val="18"/>
                <w:szCs w:val="18"/>
                <w:lang w:eastAsia="zh-CN"/>
              </w:rPr>
              <w:t>M</w:t>
            </w:r>
          </w:p>
        </w:tc>
        <w:tc>
          <w:tcPr>
            <w:tcW w:w="2424" w:type="dxa"/>
          </w:tcPr>
          <w:p>
            <w:pPr>
              <w:overflowPunct w:val="0"/>
              <w:autoSpaceDE w:val="0"/>
              <w:autoSpaceDN w:val="0"/>
              <w:adjustRightInd w:val="0"/>
              <w:spacing w:after="180"/>
              <w:jc w:val="both"/>
              <w:textAlignment w:val="baseline"/>
              <w:rPr>
                <w:rFonts w:ascii="Arial" w:hAnsi="Arial" w:eastAsia="宋体" w:cs="Arial"/>
                <w:sz w:val="18"/>
                <w:szCs w:val="18"/>
                <w:lang w:val="en-GB" w:eastAsia="zh-CN"/>
              </w:rPr>
            </w:pPr>
            <w:r>
              <w:rPr>
                <w:rFonts w:ascii="Arial" w:hAnsi="Arial" w:eastAsia="宋体" w:cs="Arial"/>
                <w:sz w:val="18"/>
                <w:szCs w:val="18"/>
                <w:lang w:val="en-GB" w:eastAsia="zh-CN"/>
              </w:rPr>
              <w:t>M</w:t>
            </w:r>
          </w:p>
        </w:tc>
        <w:tc>
          <w:tcPr>
            <w:tcW w:w="1681" w:type="dxa"/>
          </w:tcPr>
          <w:p>
            <w:pPr>
              <w:overflowPunct w:val="0"/>
              <w:autoSpaceDE w:val="0"/>
              <w:autoSpaceDN w:val="0"/>
              <w:adjustRightInd w:val="0"/>
              <w:spacing w:after="180"/>
              <w:jc w:val="both"/>
              <w:textAlignment w:val="baseline"/>
              <w:rPr>
                <w:rFonts w:ascii="Arial" w:hAnsi="Arial" w:eastAsia="宋体" w:cs="Arial"/>
                <w:sz w:val="18"/>
                <w:szCs w:val="18"/>
                <w:lang w:val="en-GB" w:eastAsia="zh-CN"/>
              </w:rPr>
            </w:pPr>
            <w:r>
              <w:rPr>
                <w:rFonts w:ascii="Arial" w:hAnsi="Arial" w:eastAsia="宋体" w:cs="Arial"/>
                <w:sz w:val="18"/>
                <w:szCs w:val="18"/>
                <w:lang w:val="en-GB"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6" w:type="dxa"/>
          </w:tcPr>
          <w:p>
            <w:pPr>
              <w:overflowPunct w:val="0"/>
              <w:autoSpaceDE w:val="0"/>
              <w:autoSpaceDN w:val="0"/>
              <w:adjustRightInd w:val="0"/>
              <w:spacing w:after="180"/>
              <w:jc w:val="both"/>
              <w:textAlignment w:val="baseline"/>
              <w:rPr>
                <w:rFonts w:ascii="Arial" w:hAnsi="Arial" w:eastAsia="等线" w:cs="Arial"/>
                <w:sz w:val="18"/>
                <w:szCs w:val="18"/>
                <w:lang w:eastAsia="zh-CN"/>
              </w:rPr>
            </w:pPr>
            <w:r>
              <w:rPr>
                <w:rFonts w:hint="eastAsia" w:ascii="Arial" w:hAnsi="Arial" w:eastAsia="等线" w:cs="Arial"/>
                <w:sz w:val="18"/>
                <w:szCs w:val="18"/>
                <w:lang w:eastAsia="zh-CN"/>
              </w:rPr>
              <w:t>4</w:t>
            </w:r>
          </w:p>
        </w:tc>
        <w:tc>
          <w:tcPr>
            <w:tcW w:w="2637" w:type="dxa"/>
          </w:tcPr>
          <w:p>
            <w:pPr>
              <w:pStyle w:val="63"/>
              <w:rPr>
                <w:rFonts w:ascii="Arial" w:hAnsi="Arial" w:eastAsia="Times New Roman" w:cs="Arial"/>
                <w:kern w:val="0"/>
                <w:sz w:val="18"/>
                <w:szCs w:val="18"/>
                <w:lang w:val="en-GB" w:eastAsia="en-US"/>
              </w:rPr>
            </w:pPr>
            <w:r>
              <w:rPr>
                <w:rFonts w:ascii="Arial" w:hAnsi="Arial" w:eastAsia="Times New Roman" w:cs="Arial"/>
                <w:kern w:val="0"/>
                <w:sz w:val="18"/>
                <w:szCs w:val="18"/>
                <w:lang w:val="en-GB" w:eastAsia="en-US"/>
              </w:rPr>
              <w:t>UE context identity</w:t>
            </w:r>
          </w:p>
        </w:tc>
        <w:tc>
          <w:tcPr>
            <w:tcW w:w="1928" w:type="dxa"/>
          </w:tcPr>
          <w:p>
            <w:pPr>
              <w:overflowPunct w:val="0"/>
              <w:autoSpaceDE w:val="0"/>
              <w:autoSpaceDN w:val="0"/>
              <w:adjustRightInd w:val="0"/>
              <w:spacing w:after="180"/>
              <w:jc w:val="both"/>
              <w:textAlignment w:val="baseline"/>
              <w:rPr>
                <w:rFonts w:ascii="Arial" w:hAnsi="Arial" w:eastAsia="宋体" w:cs="Arial"/>
                <w:sz w:val="18"/>
                <w:szCs w:val="18"/>
                <w:lang w:eastAsia="zh-CN"/>
              </w:rPr>
            </w:pPr>
          </w:p>
        </w:tc>
        <w:tc>
          <w:tcPr>
            <w:tcW w:w="2424" w:type="dxa"/>
          </w:tcPr>
          <w:p>
            <w:pPr>
              <w:overflowPunct w:val="0"/>
              <w:autoSpaceDE w:val="0"/>
              <w:autoSpaceDN w:val="0"/>
              <w:adjustRightInd w:val="0"/>
              <w:spacing w:after="180"/>
              <w:jc w:val="both"/>
              <w:textAlignment w:val="baseline"/>
              <w:rPr>
                <w:rFonts w:ascii="Arial" w:hAnsi="Arial" w:eastAsia="宋体" w:cs="Arial"/>
                <w:sz w:val="18"/>
                <w:szCs w:val="18"/>
                <w:lang w:val="en-GB" w:eastAsia="zh-CN"/>
              </w:rPr>
            </w:pPr>
            <w:r>
              <w:rPr>
                <w:rFonts w:hint="eastAsia" w:ascii="Arial" w:hAnsi="Arial" w:eastAsia="宋体" w:cs="Arial"/>
                <w:sz w:val="18"/>
                <w:szCs w:val="18"/>
                <w:lang w:val="en-US" w:eastAsia="zh-CN"/>
              </w:rPr>
              <w:t>O</w:t>
            </w:r>
          </w:p>
        </w:tc>
        <w:tc>
          <w:tcPr>
            <w:tcW w:w="1681" w:type="dxa"/>
          </w:tcPr>
          <w:p>
            <w:pPr>
              <w:overflowPunct w:val="0"/>
              <w:autoSpaceDE w:val="0"/>
              <w:autoSpaceDN w:val="0"/>
              <w:adjustRightInd w:val="0"/>
              <w:spacing w:after="180"/>
              <w:jc w:val="both"/>
              <w:textAlignment w:val="baseline"/>
              <w:rPr>
                <w:rFonts w:ascii="Arial" w:hAnsi="Arial" w:eastAsia="宋体" w:cs="Arial"/>
                <w:sz w:val="18"/>
                <w:szCs w:val="18"/>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6" w:type="dxa"/>
          </w:tcPr>
          <w:p>
            <w:pPr>
              <w:overflowPunct w:val="0"/>
              <w:autoSpaceDE w:val="0"/>
              <w:autoSpaceDN w:val="0"/>
              <w:adjustRightInd w:val="0"/>
              <w:spacing w:after="180"/>
              <w:jc w:val="both"/>
              <w:textAlignment w:val="baseline"/>
              <w:rPr>
                <w:rFonts w:ascii="Arial" w:hAnsi="Arial" w:eastAsia="等线" w:cs="Arial"/>
                <w:sz w:val="18"/>
                <w:szCs w:val="18"/>
                <w:lang w:eastAsia="zh-CN"/>
              </w:rPr>
            </w:pPr>
            <w:r>
              <w:rPr>
                <w:rFonts w:hint="eastAsia" w:ascii="Arial" w:hAnsi="Arial" w:eastAsia="等线" w:cs="Arial"/>
                <w:sz w:val="18"/>
                <w:szCs w:val="18"/>
                <w:lang w:eastAsia="zh-CN"/>
              </w:rPr>
              <w:t>5</w:t>
            </w:r>
          </w:p>
        </w:tc>
        <w:tc>
          <w:tcPr>
            <w:tcW w:w="2637" w:type="dxa"/>
          </w:tcPr>
          <w:p>
            <w:pPr>
              <w:pStyle w:val="63"/>
              <w:rPr>
                <w:rFonts w:ascii="Arial" w:hAnsi="Arial" w:eastAsia="Times New Roman" w:cs="Arial"/>
                <w:kern w:val="0"/>
                <w:sz w:val="18"/>
                <w:szCs w:val="18"/>
                <w:lang w:val="en-GB" w:eastAsia="en-US"/>
              </w:rPr>
            </w:pPr>
            <w:r>
              <w:rPr>
                <w:rFonts w:ascii="Arial" w:hAnsi="Arial" w:eastAsia="Times New Roman" w:cs="Arial"/>
                <w:kern w:val="0"/>
                <w:sz w:val="18"/>
                <w:szCs w:val="18"/>
                <w:lang w:val="en-GB" w:eastAsia="en-US"/>
              </w:rPr>
              <w:t xml:space="preserve">suspension/inactivation indication (FFS if implicitly or explicitly) </w:t>
            </w:r>
          </w:p>
        </w:tc>
        <w:tc>
          <w:tcPr>
            <w:tcW w:w="1928" w:type="dxa"/>
          </w:tcPr>
          <w:p>
            <w:pPr>
              <w:overflowPunct w:val="0"/>
              <w:autoSpaceDE w:val="0"/>
              <w:autoSpaceDN w:val="0"/>
              <w:adjustRightInd w:val="0"/>
              <w:spacing w:after="180"/>
              <w:jc w:val="both"/>
              <w:textAlignment w:val="baseline"/>
              <w:rPr>
                <w:rFonts w:ascii="Arial" w:hAnsi="Arial" w:eastAsia="宋体" w:cs="Arial"/>
                <w:sz w:val="18"/>
                <w:szCs w:val="18"/>
                <w:lang w:eastAsia="zh-CN"/>
              </w:rPr>
            </w:pPr>
            <w:r>
              <w:rPr>
                <w:rFonts w:hint="eastAsia" w:ascii="Arial" w:hAnsi="Arial" w:eastAsia="宋体" w:cs="Arial"/>
                <w:sz w:val="18"/>
                <w:szCs w:val="18"/>
                <w:lang w:eastAsia="zh-CN"/>
              </w:rPr>
              <w:t>-</w:t>
            </w:r>
          </w:p>
        </w:tc>
        <w:tc>
          <w:tcPr>
            <w:tcW w:w="2424" w:type="dxa"/>
          </w:tcPr>
          <w:p>
            <w:pPr>
              <w:overflowPunct w:val="0"/>
              <w:autoSpaceDE w:val="0"/>
              <w:autoSpaceDN w:val="0"/>
              <w:adjustRightInd w:val="0"/>
              <w:spacing w:after="180"/>
              <w:jc w:val="both"/>
              <w:textAlignment w:val="baseline"/>
              <w:rPr>
                <w:rFonts w:ascii="Arial" w:hAnsi="Arial" w:eastAsia="宋体" w:cs="Arial"/>
                <w:sz w:val="18"/>
                <w:szCs w:val="18"/>
                <w:lang w:val="en-GB" w:eastAsia="zh-CN"/>
              </w:rPr>
            </w:pPr>
            <w:r>
              <w:rPr>
                <w:rFonts w:ascii="Arial" w:hAnsi="Arial" w:eastAsia="宋体" w:cs="Arial"/>
                <w:sz w:val="18"/>
                <w:szCs w:val="18"/>
                <w:lang w:val="en-GB" w:eastAsia="zh-CN"/>
              </w:rPr>
              <w:t>-</w:t>
            </w:r>
          </w:p>
        </w:tc>
        <w:tc>
          <w:tcPr>
            <w:tcW w:w="1681" w:type="dxa"/>
          </w:tcPr>
          <w:p>
            <w:pPr>
              <w:overflowPunct w:val="0"/>
              <w:autoSpaceDE w:val="0"/>
              <w:autoSpaceDN w:val="0"/>
              <w:adjustRightInd w:val="0"/>
              <w:spacing w:after="180"/>
              <w:jc w:val="both"/>
              <w:textAlignment w:val="baseline"/>
              <w:rPr>
                <w:rFonts w:ascii="Arial" w:hAnsi="Arial" w:eastAsia="宋体" w:cs="Arial"/>
                <w:sz w:val="18"/>
                <w:szCs w:val="18"/>
                <w:lang w:val="en-GB" w:eastAsia="zh-CN"/>
              </w:rPr>
            </w:pPr>
            <w:r>
              <w:rPr>
                <w:rFonts w:hint="eastAsia" w:ascii="Arial" w:hAnsi="Arial" w:eastAsia="宋体" w:cs="Arial"/>
                <w:sz w:val="18"/>
                <w:szCs w:val="18"/>
                <w:lang w:val="en-GB"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6" w:type="dxa"/>
          </w:tcPr>
          <w:p>
            <w:pPr>
              <w:overflowPunct w:val="0"/>
              <w:autoSpaceDE w:val="0"/>
              <w:autoSpaceDN w:val="0"/>
              <w:adjustRightInd w:val="0"/>
              <w:spacing w:after="180"/>
              <w:jc w:val="both"/>
              <w:textAlignment w:val="baseline"/>
              <w:rPr>
                <w:rFonts w:ascii="Arial" w:hAnsi="Arial" w:eastAsia="等线" w:cs="Arial"/>
                <w:sz w:val="18"/>
                <w:szCs w:val="18"/>
                <w:lang w:eastAsia="zh-CN"/>
              </w:rPr>
            </w:pPr>
            <w:r>
              <w:rPr>
                <w:rFonts w:hint="eastAsia" w:ascii="Arial" w:hAnsi="Arial" w:eastAsia="等线" w:cs="Arial"/>
                <w:sz w:val="18"/>
                <w:szCs w:val="18"/>
                <w:lang w:eastAsia="zh-CN"/>
              </w:rPr>
              <w:t>6</w:t>
            </w:r>
          </w:p>
        </w:tc>
        <w:tc>
          <w:tcPr>
            <w:tcW w:w="2637" w:type="dxa"/>
          </w:tcPr>
          <w:p>
            <w:pPr>
              <w:pStyle w:val="63"/>
              <w:rPr>
                <w:rFonts w:ascii="Arial" w:hAnsi="Arial" w:eastAsia="Times New Roman" w:cs="Arial"/>
                <w:kern w:val="0"/>
                <w:sz w:val="18"/>
                <w:szCs w:val="18"/>
                <w:lang w:val="en-GB" w:eastAsia="en-US"/>
              </w:rPr>
            </w:pPr>
            <w:r>
              <w:rPr>
                <w:rFonts w:ascii="Arial" w:hAnsi="Arial" w:eastAsia="Times New Roman" w:cs="Arial"/>
                <w:kern w:val="0"/>
                <w:sz w:val="18"/>
                <w:szCs w:val="18"/>
                <w:lang w:val="en-GB" w:eastAsia="en-US"/>
              </w:rPr>
              <w:t>RAN configured DRX cycle</w:t>
            </w:r>
          </w:p>
        </w:tc>
        <w:tc>
          <w:tcPr>
            <w:tcW w:w="1928" w:type="dxa"/>
          </w:tcPr>
          <w:p>
            <w:pPr>
              <w:overflowPunct w:val="0"/>
              <w:autoSpaceDE w:val="0"/>
              <w:autoSpaceDN w:val="0"/>
              <w:adjustRightInd w:val="0"/>
              <w:spacing w:after="180"/>
              <w:jc w:val="both"/>
              <w:textAlignment w:val="baseline"/>
              <w:rPr>
                <w:rFonts w:ascii="Arial" w:hAnsi="Arial" w:eastAsia="宋体" w:cs="Arial"/>
                <w:sz w:val="18"/>
                <w:szCs w:val="18"/>
                <w:lang w:eastAsia="zh-CN"/>
              </w:rPr>
            </w:pPr>
          </w:p>
        </w:tc>
        <w:tc>
          <w:tcPr>
            <w:tcW w:w="2424" w:type="dxa"/>
          </w:tcPr>
          <w:p>
            <w:pPr>
              <w:overflowPunct w:val="0"/>
              <w:autoSpaceDE w:val="0"/>
              <w:autoSpaceDN w:val="0"/>
              <w:adjustRightInd w:val="0"/>
              <w:spacing w:after="180"/>
              <w:jc w:val="both"/>
              <w:textAlignment w:val="baseline"/>
              <w:rPr>
                <w:rFonts w:ascii="Arial" w:hAnsi="Arial" w:eastAsia="宋体" w:cs="Arial"/>
                <w:sz w:val="18"/>
                <w:szCs w:val="18"/>
                <w:lang w:val="en-GB" w:eastAsia="zh-CN"/>
              </w:rPr>
            </w:pPr>
            <w:r>
              <w:rPr>
                <w:rFonts w:hint="eastAsia" w:ascii="Arial" w:hAnsi="Arial" w:eastAsia="宋体" w:cs="Arial"/>
                <w:sz w:val="18"/>
                <w:szCs w:val="18"/>
                <w:lang w:val="en-GB" w:eastAsia="zh-CN"/>
              </w:rPr>
              <w:t>O</w:t>
            </w:r>
          </w:p>
        </w:tc>
        <w:tc>
          <w:tcPr>
            <w:tcW w:w="1681" w:type="dxa"/>
          </w:tcPr>
          <w:p>
            <w:pPr>
              <w:overflowPunct w:val="0"/>
              <w:autoSpaceDE w:val="0"/>
              <w:autoSpaceDN w:val="0"/>
              <w:adjustRightInd w:val="0"/>
              <w:spacing w:after="180"/>
              <w:jc w:val="both"/>
              <w:textAlignment w:val="baseline"/>
              <w:rPr>
                <w:rFonts w:ascii="Arial" w:hAnsi="Arial" w:eastAsia="宋体" w:cs="Arial"/>
                <w:sz w:val="18"/>
                <w:szCs w:val="18"/>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6" w:type="dxa"/>
          </w:tcPr>
          <w:p>
            <w:pPr>
              <w:overflowPunct w:val="0"/>
              <w:autoSpaceDE w:val="0"/>
              <w:autoSpaceDN w:val="0"/>
              <w:adjustRightInd w:val="0"/>
              <w:spacing w:after="180"/>
              <w:jc w:val="both"/>
              <w:textAlignment w:val="baseline"/>
              <w:rPr>
                <w:rFonts w:ascii="Arial" w:hAnsi="Arial" w:eastAsia="等线" w:cs="Arial"/>
                <w:sz w:val="18"/>
                <w:szCs w:val="18"/>
                <w:lang w:eastAsia="zh-CN"/>
              </w:rPr>
            </w:pPr>
            <w:r>
              <w:rPr>
                <w:rFonts w:hint="eastAsia" w:ascii="Arial" w:hAnsi="Arial" w:eastAsia="等线" w:cs="Arial"/>
                <w:sz w:val="18"/>
                <w:szCs w:val="18"/>
                <w:lang w:eastAsia="zh-CN"/>
              </w:rPr>
              <w:t>7</w:t>
            </w:r>
          </w:p>
        </w:tc>
        <w:tc>
          <w:tcPr>
            <w:tcW w:w="2637" w:type="dxa"/>
          </w:tcPr>
          <w:p>
            <w:pPr>
              <w:pStyle w:val="63"/>
              <w:rPr>
                <w:rFonts w:ascii="Arial" w:hAnsi="Arial" w:eastAsia="Times New Roman" w:cs="Arial"/>
                <w:kern w:val="0"/>
                <w:sz w:val="18"/>
                <w:szCs w:val="18"/>
                <w:lang w:val="en-GB" w:eastAsia="en-US"/>
              </w:rPr>
            </w:pPr>
            <w:r>
              <w:rPr>
                <w:rFonts w:ascii="Arial" w:hAnsi="Arial" w:eastAsia="Times New Roman" w:cs="Arial"/>
                <w:kern w:val="0"/>
                <w:sz w:val="18"/>
                <w:szCs w:val="18"/>
                <w:lang w:val="en-GB" w:eastAsia="en-US"/>
              </w:rPr>
              <w:t>RAN periodic notification timer</w:t>
            </w:r>
          </w:p>
        </w:tc>
        <w:tc>
          <w:tcPr>
            <w:tcW w:w="1928" w:type="dxa"/>
          </w:tcPr>
          <w:p>
            <w:pPr>
              <w:overflowPunct w:val="0"/>
              <w:autoSpaceDE w:val="0"/>
              <w:autoSpaceDN w:val="0"/>
              <w:adjustRightInd w:val="0"/>
              <w:spacing w:after="180"/>
              <w:jc w:val="both"/>
              <w:textAlignment w:val="baseline"/>
              <w:rPr>
                <w:rFonts w:ascii="Arial" w:hAnsi="Arial" w:eastAsia="宋体" w:cs="Arial"/>
                <w:sz w:val="18"/>
                <w:szCs w:val="18"/>
                <w:lang w:eastAsia="zh-CN"/>
              </w:rPr>
            </w:pPr>
          </w:p>
        </w:tc>
        <w:tc>
          <w:tcPr>
            <w:tcW w:w="2424" w:type="dxa"/>
          </w:tcPr>
          <w:p>
            <w:pPr>
              <w:overflowPunct w:val="0"/>
              <w:autoSpaceDE w:val="0"/>
              <w:autoSpaceDN w:val="0"/>
              <w:adjustRightInd w:val="0"/>
              <w:spacing w:after="180"/>
              <w:jc w:val="both"/>
              <w:textAlignment w:val="baseline"/>
              <w:rPr>
                <w:rFonts w:ascii="Arial" w:hAnsi="Arial" w:eastAsia="宋体" w:cs="Arial"/>
                <w:sz w:val="18"/>
                <w:szCs w:val="18"/>
                <w:lang w:val="en-GB" w:eastAsia="zh-CN"/>
              </w:rPr>
            </w:pPr>
            <w:r>
              <w:rPr>
                <w:rFonts w:hint="eastAsia" w:ascii="Arial" w:hAnsi="Arial" w:eastAsia="宋体" w:cs="Arial"/>
                <w:sz w:val="18"/>
                <w:szCs w:val="18"/>
                <w:lang w:val="en-GB" w:eastAsia="zh-CN"/>
              </w:rPr>
              <w:t>O</w:t>
            </w:r>
          </w:p>
        </w:tc>
        <w:tc>
          <w:tcPr>
            <w:tcW w:w="1681" w:type="dxa"/>
          </w:tcPr>
          <w:p>
            <w:pPr>
              <w:overflowPunct w:val="0"/>
              <w:autoSpaceDE w:val="0"/>
              <w:autoSpaceDN w:val="0"/>
              <w:adjustRightInd w:val="0"/>
              <w:spacing w:after="180"/>
              <w:jc w:val="both"/>
              <w:textAlignment w:val="baseline"/>
              <w:rPr>
                <w:rFonts w:ascii="Arial" w:hAnsi="Arial" w:eastAsia="宋体" w:cs="Arial"/>
                <w:sz w:val="18"/>
                <w:szCs w:val="18"/>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6" w:type="dxa"/>
          </w:tcPr>
          <w:p>
            <w:pPr>
              <w:overflowPunct w:val="0"/>
              <w:autoSpaceDE w:val="0"/>
              <w:autoSpaceDN w:val="0"/>
              <w:adjustRightInd w:val="0"/>
              <w:spacing w:after="180"/>
              <w:jc w:val="both"/>
              <w:textAlignment w:val="baseline"/>
              <w:rPr>
                <w:rFonts w:ascii="Arial" w:hAnsi="Arial" w:eastAsia="等线" w:cs="Arial"/>
                <w:sz w:val="18"/>
                <w:szCs w:val="18"/>
                <w:lang w:eastAsia="zh-CN"/>
              </w:rPr>
            </w:pPr>
            <w:r>
              <w:rPr>
                <w:rFonts w:hint="eastAsia" w:ascii="Arial" w:hAnsi="Arial" w:eastAsia="等线" w:cs="Arial"/>
                <w:sz w:val="18"/>
                <w:szCs w:val="18"/>
                <w:lang w:eastAsia="zh-CN"/>
              </w:rPr>
              <w:t>8</w:t>
            </w:r>
          </w:p>
        </w:tc>
        <w:tc>
          <w:tcPr>
            <w:tcW w:w="2637" w:type="dxa"/>
          </w:tcPr>
          <w:p>
            <w:pPr>
              <w:pStyle w:val="63"/>
              <w:rPr>
                <w:rFonts w:ascii="Arial" w:hAnsi="Arial" w:eastAsia="Times New Roman" w:cs="Arial"/>
                <w:kern w:val="0"/>
                <w:sz w:val="18"/>
                <w:szCs w:val="18"/>
                <w:lang w:val="en-GB" w:eastAsia="en-US"/>
              </w:rPr>
            </w:pPr>
            <w:r>
              <w:rPr>
                <w:rFonts w:ascii="Arial" w:hAnsi="Arial" w:eastAsia="Times New Roman" w:cs="Arial"/>
                <w:kern w:val="0"/>
                <w:sz w:val="18"/>
                <w:szCs w:val="18"/>
                <w:lang w:val="en-GB" w:eastAsia="en-US"/>
              </w:rPr>
              <w:t>RAN notification area</w:t>
            </w:r>
          </w:p>
        </w:tc>
        <w:tc>
          <w:tcPr>
            <w:tcW w:w="1928" w:type="dxa"/>
          </w:tcPr>
          <w:p>
            <w:pPr>
              <w:overflowPunct w:val="0"/>
              <w:autoSpaceDE w:val="0"/>
              <w:autoSpaceDN w:val="0"/>
              <w:adjustRightInd w:val="0"/>
              <w:spacing w:after="180"/>
              <w:jc w:val="both"/>
              <w:textAlignment w:val="baseline"/>
              <w:rPr>
                <w:rFonts w:ascii="Arial" w:hAnsi="Arial" w:eastAsia="宋体" w:cs="Arial"/>
                <w:sz w:val="18"/>
                <w:szCs w:val="18"/>
                <w:lang w:eastAsia="zh-CN"/>
              </w:rPr>
            </w:pPr>
          </w:p>
        </w:tc>
        <w:tc>
          <w:tcPr>
            <w:tcW w:w="2424" w:type="dxa"/>
          </w:tcPr>
          <w:p>
            <w:pPr>
              <w:overflowPunct w:val="0"/>
              <w:autoSpaceDE w:val="0"/>
              <w:autoSpaceDN w:val="0"/>
              <w:adjustRightInd w:val="0"/>
              <w:spacing w:after="180"/>
              <w:jc w:val="both"/>
              <w:textAlignment w:val="baseline"/>
              <w:rPr>
                <w:rFonts w:ascii="Arial" w:hAnsi="Arial" w:eastAsia="宋体" w:cs="Arial"/>
                <w:sz w:val="18"/>
                <w:szCs w:val="18"/>
                <w:lang w:val="en-GB" w:eastAsia="zh-CN"/>
              </w:rPr>
            </w:pPr>
            <w:r>
              <w:rPr>
                <w:rFonts w:hint="eastAsia" w:ascii="Arial" w:hAnsi="Arial" w:eastAsia="宋体" w:cs="Arial"/>
                <w:sz w:val="18"/>
                <w:szCs w:val="18"/>
                <w:lang w:val="en-US" w:eastAsia="zh-CN"/>
              </w:rPr>
              <w:t>M</w:t>
            </w:r>
          </w:p>
        </w:tc>
        <w:tc>
          <w:tcPr>
            <w:tcW w:w="1681" w:type="dxa"/>
          </w:tcPr>
          <w:p>
            <w:pPr>
              <w:overflowPunct w:val="0"/>
              <w:autoSpaceDE w:val="0"/>
              <w:autoSpaceDN w:val="0"/>
              <w:adjustRightInd w:val="0"/>
              <w:spacing w:after="180"/>
              <w:jc w:val="both"/>
              <w:textAlignment w:val="baseline"/>
              <w:rPr>
                <w:rFonts w:ascii="Arial" w:hAnsi="Arial" w:eastAsia="宋体" w:cs="Arial"/>
                <w:sz w:val="18"/>
                <w:szCs w:val="18"/>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6" w:type="dxa"/>
            <w:gridSpan w:val="5"/>
          </w:tcPr>
          <w:p>
            <w:pPr>
              <w:overflowPunct w:val="0"/>
              <w:autoSpaceDE w:val="0"/>
              <w:autoSpaceDN w:val="0"/>
              <w:adjustRightInd w:val="0"/>
              <w:spacing w:after="180"/>
              <w:jc w:val="both"/>
              <w:textAlignment w:val="baseline"/>
              <w:rPr>
                <w:rFonts w:ascii="Arial" w:hAnsi="Arial" w:cs="Arial"/>
                <w:sz w:val="18"/>
                <w:szCs w:val="18"/>
                <w:lang w:eastAsia="ja-JP"/>
              </w:rPr>
            </w:pPr>
            <w:r>
              <w:rPr>
                <w:rFonts w:ascii="Arial" w:hAnsi="Arial" w:cs="Arial"/>
                <w:sz w:val="18"/>
                <w:szCs w:val="18"/>
                <w:lang w:eastAsia="ja-JP"/>
              </w:rPr>
              <w:t>Note: ‘M’ for Mandatory, ‘O’ for Optional, ‘- ’ for none presence of corresponding Information in the table.</w:t>
            </w:r>
          </w:p>
          <w:p>
            <w:pPr>
              <w:overflowPunct w:val="0"/>
              <w:autoSpaceDE w:val="0"/>
              <w:autoSpaceDN w:val="0"/>
              <w:adjustRightInd w:val="0"/>
              <w:spacing w:after="180"/>
              <w:jc w:val="both"/>
              <w:textAlignment w:val="baseline"/>
              <w:rPr>
                <w:rFonts w:ascii="Arial" w:hAnsi="Arial" w:eastAsia="MS Mincho" w:cs="Arial"/>
                <w:sz w:val="18"/>
                <w:szCs w:val="18"/>
                <w:lang w:eastAsia="ja-JP"/>
              </w:rPr>
            </w:pPr>
            <w:r>
              <w:rPr>
                <w:rFonts w:ascii="Arial" w:hAnsi="Arial" w:cs="Arial"/>
                <w:sz w:val="18"/>
                <w:szCs w:val="18"/>
                <w:lang w:eastAsia="ja-JP"/>
              </w:rPr>
              <w:t>Note: In the 5</w:t>
            </w:r>
            <w:r>
              <w:rPr>
                <w:rFonts w:ascii="Arial" w:hAnsi="Arial" w:cs="Arial"/>
                <w:sz w:val="18"/>
                <w:szCs w:val="18"/>
                <w:vertAlign w:val="superscript"/>
                <w:lang w:eastAsia="ja-JP"/>
              </w:rPr>
              <w:t>th</w:t>
            </w:r>
            <w:r>
              <w:rPr>
                <w:rFonts w:ascii="Arial" w:hAnsi="Arial" w:cs="Arial"/>
                <w:sz w:val="18"/>
                <w:szCs w:val="18"/>
                <w:lang w:eastAsia="ja-JP"/>
              </w:rPr>
              <w:t xml:space="preserve"> row, we assume implicitly indication is used, i.e., UE behavior on transition to which RRC state (INACTIVE or IDLE) is based on whether INACTIVE related parameters (e.g., RAN notification area) have been received.</w:t>
            </w:r>
          </w:p>
        </w:tc>
      </w:tr>
    </w:tbl>
    <w:p>
      <w:pPr>
        <w:pStyle w:val="57"/>
        <w:ind w:left="0" w:firstLine="0"/>
        <w:jc w:val="both"/>
        <w:rPr>
          <w:rFonts w:eastAsia="宋体"/>
          <w:b/>
          <w:lang w:eastAsia="zh-CN"/>
        </w:rPr>
      </w:pPr>
    </w:p>
    <w:p>
      <w:pPr>
        <w:pStyle w:val="14"/>
        <w:jc w:val="both"/>
        <w:rPr>
          <w:rFonts w:eastAsia="宋体"/>
          <w:b/>
          <w:lang w:eastAsia="zh-CN"/>
        </w:rPr>
      </w:pPr>
      <w:bookmarkStart w:id="13" w:name="_Ref510652287"/>
      <w:bookmarkStart w:id="14" w:name="_Ref498605506"/>
      <w:r>
        <w:rPr>
          <w:b/>
        </w:rPr>
        <w:t xml:space="preserve">Observation </w:t>
      </w:r>
      <w:r>
        <w:rPr>
          <w:b/>
        </w:rPr>
        <w:fldChar w:fldCharType="begin"/>
      </w:r>
      <w:r>
        <w:rPr>
          <w:b/>
        </w:rPr>
        <w:instrText xml:space="preserve"> SEQ Observation \* ARABIC </w:instrText>
      </w:r>
      <w:r>
        <w:rPr>
          <w:b/>
        </w:rPr>
        <w:fldChar w:fldCharType="separate"/>
      </w:r>
      <w:r>
        <w:rPr>
          <w:b/>
        </w:rPr>
        <w:t>2</w:t>
      </w:r>
      <w:r>
        <w:rPr>
          <w:b/>
        </w:rPr>
        <w:fldChar w:fldCharType="end"/>
      </w:r>
      <w:r>
        <w:rPr>
          <w:rFonts w:eastAsia="宋体"/>
          <w:b/>
          <w:lang w:eastAsia="zh-CN"/>
        </w:rPr>
        <w:t xml:space="preserve"> </w:t>
      </w:r>
      <w:r>
        <w:rPr>
          <w:rFonts w:eastAsia="宋体"/>
          <w:b/>
          <w:lang w:eastAsia="zh-CN"/>
        </w:rPr>
        <w:tab/>
      </w:r>
      <w:r>
        <w:rPr>
          <w:rFonts w:eastAsia="宋体"/>
          <w:b/>
          <w:lang w:eastAsia="zh-CN"/>
        </w:rPr>
        <w:t>The same necessary content carried over RRC message for transition from INACTIVE to IDLE, CONNECTED to IDLE, and CONNECTED to INACTIVE are cause information, redirect carrier frequency and mode mobility control information, which covers nearly half of the total listed IEs.</w:t>
      </w:r>
      <w:bookmarkEnd w:id="13"/>
      <w:r>
        <w:rPr>
          <w:rFonts w:eastAsia="宋体"/>
          <w:b/>
          <w:lang w:eastAsia="zh-CN"/>
        </w:rPr>
        <w:t xml:space="preserve"> </w:t>
      </w:r>
      <w:bookmarkEnd w:id="14"/>
    </w:p>
    <w:p>
      <w:pPr>
        <w:pStyle w:val="57"/>
        <w:ind w:left="0" w:firstLine="0"/>
        <w:jc w:val="both"/>
        <w:rPr>
          <w:rFonts w:eastAsiaTheme="minorEastAsia"/>
          <w:lang w:eastAsia="zh-CN"/>
        </w:rPr>
      </w:pPr>
    </w:p>
    <w:p>
      <w:pPr>
        <w:pStyle w:val="57"/>
        <w:ind w:left="0" w:firstLine="0"/>
        <w:jc w:val="both"/>
        <w:rPr>
          <w:rFonts w:eastAsia="宋体"/>
          <w:lang w:eastAsia="zh-CN"/>
        </w:rPr>
      </w:pPr>
      <w:r>
        <w:rPr>
          <w:rFonts w:hint="eastAsia" w:eastAsiaTheme="minorEastAsia"/>
          <w:lang w:eastAsia="zh-CN"/>
        </w:rPr>
        <w:t xml:space="preserve">On the other hand, </w:t>
      </w:r>
      <w:r>
        <w:rPr>
          <w:rFonts w:eastAsiaTheme="minorEastAsia"/>
          <w:lang w:eastAsia="zh-CN"/>
        </w:rPr>
        <w:t xml:space="preserve">we notice </w:t>
      </w:r>
      <w:r>
        <w:rPr>
          <w:rFonts w:hint="eastAsia" w:eastAsiaTheme="minorEastAsia"/>
          <w:lang w:eastAsia="zh-CN"/>
        </w:rPr>
        <w:t xml:space="preserve">that </w:t>
      </w:r>
      <w:r>
        <w:rPr>
          <w:rFonts w:eastAsiaTheme="minorEastAsia"/>
          <w:lang w:eastAsia="zh-CN"/>
        </w:rPr>
        <w:t xml:space="preserve">the different parts of the listed IEs are only for </w:t>
      </w:r>
      <w:r>
        <w:rPr>
          <w:rFonts w:eastAsia="宋体"/>
          <w:b/>
          <w:lang w:eastAsia="zh-CN"/>
        </w:rPr>
        <w:t xml:space="preserve">INACTIVE </w:t>
      </w:r>
      <w:r>
        <w:rPr>
          <w:rFonts w:eastAsia="宋体"/>
          <w:lang w:eastAsia="zh-CN"/>
        </w:rPr>
        <w:t xml:space="preserve">related parameters. It comes very naturally to the mind that whether it’s possible to have a different RRC message just for transition from CONNECTED to INACTIVE. There is similar issue and discussion on the RRC message design in LTE Light Connection when UE transits from CONNECTED to RRC light connection state. The final agreement is to have the same </w:t>
      </w:r>
      <w:r>
        <w:rPr>
          <w:rFonts w:eastAsia="宋体"/>
          <w:i/>
          <w:lang w:eastAsia="zh-CN"/>
        </w:rPr>
        <w:t>RRCConnectionRelease</w:t>
      </w:r>
      <w:r>
        <w:rPr>
          <w:rFonts w:eastAsia="宋体"/>
          <w:lang w:eastAsia="zh-CN"/>
        </w:rPr>
        <w:t xml:space="preserve"> which is also used for CONNECTED to ILDE. We suggest to follow the similar decision and avoid extra work. </w:t>
      </w:r>
      <w:r>
        <w:t>It is also in line with the RAN aim on NR RRC message design as follows.</w:t>
      </w:r>
    </w:p>
    <w:p>
      <w:pPr>
        <w:jc w:val="both"/>
        <w:rPr>
          <w:rFonts w:eastAsia="宋体"/>
          <w:i/>
          <w:szCs w:val="20"/>
          <w:lang w:val="en-GB" w:eastAsia="zh-CN"/>
        </w:rPr>
      </w:pPr>
      <w:r>
        <w:rPr>
          <w:rFonts w:hint="eastAsia" w:eastAsia="宋体"/>
          <w:i/>
          <w:szCs w:val="20"/>
          <w:lang w:val="en-GB" w:eastAsia="zh-CN"/>
        </w:rPr>
        <w:t>Agreement</w:t>
      </w:r>
      <w:r>
        <w:rPr>
          <w:rFonts w:eastAsia="宋体"/>
          <w:i/>
          <w:szCs w:val="20"/>
          <w:lang w:val="en-GB" w:eastAsia="zh-CN"/>
        </w:rPr>
        <w:t>s at RAN2#97bis meeting:</w:t>
      </w:r>
    </w:p>
    <w:p>
      <w:pPr>
        <w:pStyle w:val="54"/>
        <w:numPr>
          <w:ilvl w:val="0"/>
          <w:numId w:val="6"/>
        </w:numPr>
        <w:ind w:firstLineChars="0"/>
        <w:rPr>
          <w:rFonts w:ascii="Times New Roman" w:hAnsi="Times New Roman"/>
          <w:i/>
          <w:sz w:val="20"/>
          <w:szCs w:val="20"/>
        </w:rPr>
      </w:pPr>
      <w:r>
        <w:rPr>
          <w:rFonts w:ascii="Times New Roman" w:hAnsi="Times New Roman"/>
          <w:i/>
          <w:sz w:val="20"/>
          <w:szCs w:val="20"/>
        </w:rPr>
        <w:t xml:space="preserve">Aim to limit the number of RRC messages i.e. </w:t>
      </w:r>
      <w:r>
        <w:rPr>
          <w:rFonts w:ascii="Times New Roman" w:hAnsi="Times New Roman"/>
          <w:i/>
          <w:sz w:val="20"/>
          <w:szCs w:val="20"/>
          <w:highlight w:val="yellow"/>
        </w:rPr>
        <w:t>avoid introducing several messages with similar content/ similar procedural handling</w:t>
      </w:r>
      <w:r>
        <w:rPr>
          <w:rFonts w:ascii="Times New Roman" w:hAnsi="Times New Roman"/>
          <w:i/>
          <w:sz w:val="20"/>
          <w:szCs w:val="20"/>
        </w:rPr>
        <w:t xml:space="preserve"> (details can be discusses when more progress has been made on the individual procedures)</w:t>
      </w:r>
    </w:p>
    <w:p>
      <w:pPr>
        <w:pStyle w:val="14"/>
        <w:jc w:val="both"/>
        <w:rPr>
          <w:rFonts w:eastAsia="宋体"/>
          <w:b/>
          <w:lang w:eastAsia="zh-CN"/>
        </w:rPr>
      </w:pPr>
      <w:bookmarkStart w:id="15" w:name="_Ref498605508"/>
      <w:r>
        <w:rPr>
          <w:b/>
        </w:rPr>
        <w:t xml:space="preserve">Observation </w:t>
      </w:r>
      <w:r>
        <w:rPr>
          <w:b/>
        </w:rPr>
        <w:fldChar w:fldCharType="begin"/>
      </w:r>
      <w:r>
        <w:rPr>
          <w:b/>
        </w:rPr>
        <w:instrText xml:space="preserve"> SEQ Observation \* ARABIC </w:instrText>
      </w:r>
      <w:r>
        <w:rPr>
          <w:b/>
        </w:rPr>
        <w:fldChar w:fldCharType="separate"/>
      </w:r>
      <w:r>
        <w:rPr>
          <w:b/>
        </w:rPr>
        <w:t>3</w:t>
      </w:r>
      <w:r>
        <w:rPr>
          <w:b/>
        </w:rPr>
        <w:fldChar w:fldCharType="end"/>
      </w:r>
      <w:r>
        <w:rPr>
          <w:b/>
        </w:rPr>
        <w:tab/>
      </w:r>
      <w:r>
        <w:rPr>
          <w:rFonts w:eastAsia="宋体"/>
          <w:b/>
          <w:bCs/>
          <w:lang w:eastAsia="zh-CN"/>
        </w:rPr>
        <w:t>RRC message design should avoid introducing several messages with similar content/ similar procedural handling.</w:t>
      </w:r>
      <w:bookmarkEnd w:id="15"/>
    </w:p>
    <w:p>
      <w:pPr>
        <w:pStyle w:val="57"/>
        <w:ind w:left="0" w:firstLine="0"/>
        <w:jc w:val="both"/>
        <w:rPr>
          <w:rFonts w:eastAsia="宋体"/>
          <w:lang w:eastAsia="zh-CN"/>
        </w:rPr>
      </w:pPr>
      <w:r>
        <w:rPr>
          <w:rFonts w:eastAsia="宋体"/>
          <w:lang w:eastAsia="zh-CN"/>
        </w:rPr>
        <w:t>Based on the above observations, we</w:t>
      </w:r>
      <w:r>
        <w:t xml:space="preserve"> </w:t>
      </w:r>
      <w:r>
        <w:rPr>
          <w:rFonts w:eastAsia="宋体"/>
          <w:lang w:eastAsia="zh-CN"/>
        </w:rPr>
        <w:t>propose to have a common RRC message which is used for RRC transition from CONNECTED to IDLE, CONNECTED to INACTIVE and INACTIVE to IDLE.</w:t>
      </w:r>
    </w:p>
    <w:p>
      <w:pPr>
        <w:pStyle w:val="62"/>
        <w:rPr>
          <w:sz w:val="20"/>
          <w:szCs w:val="20"/>
        </w:rPr>
      </w:pPr>
      <w:bookmarkStart w:id="16" w:name="_Ref498302568"/>
      <w:bookmarkStart w:id="17" w:name="_Ref498605512"/>
      <w:r>
        <w:rPr>
          <w:b/>
          <w:sz w:val="20"/>
          <w:szCs w:val="20"/>
        </w:rPr>
        <w:t xml:space="preserve">Proposal  </w:t>
      </w:r>
      <w:r>
        <w:rPr>
          <w:b/>
          <w:sz w:val="20"/>
          <w:szCs w:val="20"/>
        </w:rPr>
        <w:fldChar w:fldCharType="begin"/>
      </w:r>
      <w:r>
        <w:rPr>
          <w:b/>
          <w:sz w:val="20"/>
          <w:szCs w:val="20"/>
        </w:rPr>
        <w:instrText xml:space="preserve"> SEQ Proposal_ \* ARABIC </w:instrText>
      </w:r>
      <w:r>
        <w:rPr>
          <w:b/>
          <w:sz w:val="20"/>
          <w:szCs w:val="20"/>
        </w:rPr>
        <w:fldChar w:fldCharType="separate"/>
      </w:r>
      <w:r>
        <w:rPr>
          <w:b/>
          <w:sz w:val="20"/>
          <w:szCs w:val="20"/>
        </w:rPr>
        <w:t>1</w:t>
      </w:r>
      <w:r>
        <w:rPr>
          <w:b/>
          <w:sz w:val="20"/>
          <w:szCs w:val="20"/>
        </w:rPr>
        <w:fldChar w:fldCharType="end"/>
      </w:r>
      <w:r>
        <w:rPr>
          <w:b/>
          <w:sz w:val="20"/>
          <w:szCs w:val="20"/>
        </w:rPr>
        <w:tab/>
      </w:r>
      <w:r>
        <w:rPr>
          <w:b/>
          <w:sz w:val="20"/>
          <w:szCs w:val="20"/>
        </w:rPr>
        <w:t>The same RRC Connection Release kind of message is used for RRC transition from INACTIVE to IDLE, CONNECTED to IDLE, and CONNECTED to INACTIVE, in order to avoid introducing three messages with similar content/ similar procedure handling.</w:t>
      </w:r>
      <w:bookmarkEnd w:id="16"/>
      <w:bookmarkEnd w:id="17"/>
    </w:p>
    <w:p>
      <w:pPr>
        <w:rPr>
          <w:rFonts w:eastAsia="宋体"/>
          <w:lang w:val="en-GB" w:eastAsia="zh-CN"/>
        </w:rPr>
      </w:pPr>
    </w:p>
    <w:p>
      <w:pPr>
        <w:pStyle w:val="4"/>
        <w:keepLines/>
        <w:numPr>
          <w:ilvl w:val="0"/>
          <w:numId w:val="0"/>
        </w:numPr>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r>
        <w:rPr>
          <w:rFonts w:hint="eastAsia" w:eastAsia="宋体" w:cs="Times New Roman"/>
          <w:b w:val="0"/>
          <w:sz w:val="32"/>
          <w:szCs w:val="20"/>
          <w:lang w:val="en-GB"/>
        </w:rPr>
        <w:t>Issue</w:t>
      </w:r>
      <w:r>
        <w:rPr>
          <w:rFonts w:eastAsia="宋体" w:cs="Times New Roman"/>
          <w:b w:val="0"/>
          <w:sz w:val="32"/>
          <w:szCs w:val="20"/>
          <w:lang w:val="en-GB"/>
        </w:rPr>
        <w:t xml:space="preserve"> 2: Whether the MSG5 can be omitted if the received MSG4 is the RRC Connection Release kind of message</w:t>
      </w:r>
    </w:p>
    <w:p>
      <w:pPr>
        <w:pStyle w:val="14"/>
        <w:jc w:val="both"/>
        <w:rPr>
          <w:rFonts w:eastAsia="宋体"/>
          <w:lang w:eastAsia="zh-CN"/>
        </w:rPr>
      </w:pPr>
      <w:r>
        <w:rPr>
          <w:rFonts w:eastAsia="宋体"/>
          <w:lang w:eastAsia="zh-CN"/>
        </w:rPr>
        <w:t>If the MSG4 is the RRC Connection Release kind of message when UE resuming from RRC_INACTIVE, two options can be considered for completion of INACTIVE to IDLE procedure.</w:t>
      </w:r>
    </w:p>
    <w:p>
      <w:pPr>
        <w:pStyle w:val="14"/>
        <w:rPr>
          <w:rFonts w:eastAsia="宋体"/>
          <w:b/>
          <w:lang w:eastAsia="zh-CN"/>
        </w:rPr>
      </w:pPr>
      <w:r>
        <w:rPr>
          <w:rFonts w:eastAsia="宋体"/>
          <w:b/>
          <w:lang w:eastAsia="zh-CN"/>
        </w:rPr>
        <w:t>Option1 No MSG5 complete message is needed.</w:t>
      </w:r>
    </w:p>
    <w:p>
      <w:pPr>
        <w:pStyle w:val="14"/>
        <w:rPr>
          <w:rFonts w:eastAsia="宋体"/>
          <w:lang w:eastAsia="zh-CN"/>
        </w:rPr>
      </w:pPr>
      <w:r>
        <w:rPr>
          <w:rFonts w:eastAsia="宋体"/>
          <w:b/>
          <w:lang w:eastAsia="zh-CN"/>
        </w:rPr>
        <w:t>Option2 MSG5 complete message is always needed.</w:t>
      </w:r>
    </w:p>
    <w:p>
      <w:pPr>
        <w:jc w:val="both"/>
        <w:rPr>
          <w:rFonts w:eastAsia="宋体"/>
          <w:lang w:eastAsia="zh-CN"/>
        </w:rPr>
      </w:pPr>
      <w:r>
        <w:rPr>
          <w:rFonts w:eastAsia="宋体"/>
          <w:b/>
          <w:lang w:eastAsia="zh-CN"/>
        </w:rPr>
        <w:t xml:space="preserve">Option 1 </w:t>
      </w:r>
      <w:r>
        <w:rPr>
          <w:rFonts w:eastAsia="宋体"/>
          <w:lang w:eastAsia="zh-CN"/>
        </w:rPr>
        <w:t xml:space="preserve">is similar to LTE baseline on RRC transition from CONNECTED to IDLE, i.e., the UE does not send a RRC Release ‘complete’ message to the network. Instead, predefined time (e.g., 60ms) or low layer indication of ACK is used for RRC Connection Release message reception confirmation, whichever comes earlier. </w:t>
      </w:r>
    </w:p>
    <w:p>
      <w:pPr>
        <w:jc w:val="both"/>
        <w:rPr>
          <w:rFonts w:eastAsia="宋体"/>
          <w:i/>
          <w:lang w:eastAsia="zh-CN"/>
        </w:rPr>
      </w:pPr>
    </w:p>
    <w:p>
      <w:pPr>
        <w:jc w:val="both"/>
        <w:rPr>
          <w:rFonts w:eastAsia="宋体"/>
          <w:i/>
          <w:lang w:eastAsia="zh-CN"/>
        </w:rPr>
      </w:pPr>
      <w:r>
        <w:rPr>
          <w:rFonts w:eastAsia="宋体"/>
          <w:i/>
          <w:lang w:eastAsia="zh-CN"/>
        </w:rPr>
        <w:t>TS 36.331 5.3.8.3</w:t>
      </w:r>
      <w:r>
        <w:rPr>
          <w:rFonts w:eastAsia="宋体"/>
          <w:i/>
          <w:lang w:eastAsia="zh-CN"/>
        </w:rPr>
        <w:tab/>
      </w:r>
      <w:r>
        <w:rPr>
          <w:rFonts w:eastAsia="宋体"/>
          <w:i/>
          <w:lang w:eastAsia="zh-CN"/>
        </w:rPr>
        <w:t>Reception of the RRCConnectionRelease by the UE</w:t>
      </w:r>
    </w:p>
    <w:p>
      <w:pPr>
        <w:jc w:val="both"/>
        <w:rPr>
          <w:i/>
          <w:lang w:eastAsia="zh-CN"/>
        </w:rPr>
      </w:pPr>
      <w:r>
        <w:rPr>
          <w:i/>
        </w:rPr>
        <w:t>The UE shall:</w:t>
      </w:r>
    </w:p>
    <w:p>
      <w:pPr>
        <w:pStyle w:val="56"/>
        <w:jc w:val="both"/>
        <w:rPr>
          <w:i/>
        </w:rPr>
      </w:pPr>
      <w:r>
        <w:rPr>
          <w:i/>
        </w:rPr>
        <w:t>1&gt;</w:t>
      </w:r>
      <w:r>
        <w:rPr>
          <w:i/>
        </w:rPr>
        <w:tab/>
      </w:r>
      <w:r>
        <w:rPr>
          <w:i/>
        </w:rPr>
        <w:t xml:space="preserve">except for NB-IoT, BL UEs or UEs in CE, delay the following actions defined in this sub-clause 60 ms from the moment the </w:t>
      </w:r>
      <w:r>
        <w:rPr>
          <w:i/>
          <w:iCs/>
        </w:rPr>
        <w:t>RRCConnectionRelease</w:t>
      </w:r>
      <w:r>
        <w:rPr>
          <w:i/>
        </w:rPr>
        <w:t xml:space="preserve"> message was received or optionally when lower layers indicate that the receipt of the </w:t>
      </w:r>
      <w:r>
        <w:rPr>
          <w:i/>
          <w:iCs/>
        </w:rPr>
        <w:t>RRCConnectionRelease</w:t>
      </w:r>
      <w:r>
        <w:rPr>
          <w:i/>
        </w:rPr>
        <w:t xml:space="preserve"> message has been successfully acknowledged, whichever is earlier;</w:t>
      </w:r>
    </w:p>
    <w:p>
      <w:pPr>
        <w:jc w:val="both"/>
        <w:rPr>
          <w:rFonts w:eastAsia="宋体"/>
          <w:lang w:eastAsia="zh-CN"/>
        </w:rPr>
      </w:pPr>
      <w:r>
        <w:rPr>
          <w:rFonts w:eastAsia="宋体"/>
          <w:lang w:eastAsia="zh-CN"/>
        </w:rPr>
        <w:t xml:space="preserve">It is straightforward for RRC transition from INACTIVE to IDLE to follow above similar procedural handling. </w:t>
      </w:r>
    </w:p>
    <w:p>
      <w:pPr>
        <w:jc w:val="both"/>
        <w:rPr>
          <w:rFonts w:eastAsia="宋体"/>
          <w:lang w:eastAsia="zh-CN"/>
        </w:rPr>
      </w:pPr>
    </w:p>
    <w:p>
      <w:pPr>
        <w:jc w:val="both"/>
        <w:rPr>
          <w:rFonts w:eastAsia="宋体"/>
          <w:lang w:val="en-GB" w:eastAsia="zh-CN"/>
        </w:rPr>
      </w:pPr>
      <w:r>
        <w:rPr>
          <w:rFonts w:eastAsia="宋体"/>
          <w:lang w:eastAsia="zh-CN"/>
        </w:rPr>
        <w:t xml:space="preserve">However, it is also noted that before the network triggers RRC transition INACTIVE to IDLE, the UE needs to send a RRC Resume Request message over SRB0 first. This is a big difference from the network triggering RRC transition from CONNECTED to IDLE (i.e., without UE request). </w:t>
      </w:r>
      <w:r>
        <w:rPr>
          <w:rFonts w:eastAsia="宋体"/>
          <w:lang w:val="en-GB" w:eastAsia="zh-CN"/>
        </w:rPr>
        <w:t xml:space="preserve">If a UE doesn’t send MSG5, security issue raised by the so-called MSG3 replay attack could not be avoided. An example is depicted in below </w:t>
      </w:r>
      <w:r>
        <w:rPr>
          <w:rFonts w:eastAsia="宋体"/>
          <w:b/>
          <w:lang w:val="en-GB" w:eastAsia="zh-CN"/>
        </w:rPr>
        <w:fldChar w:fldCharType="begin"/>
      </w:r>
      <w:r>
        <w:rPr>
          <w:rFonts w:eastAsia="宋体"/>
          <w:b/>
          <w:lang w:val="en-GB" w:eastAsia="zh-CN"/>
        </w:rPr>
        <w:instrText xml:space="preserve"> REF _Ref498637791 \h  \* MERGEFORMAT </w:instrText>
      </w:r>
      <w:r>
        <w:rPr>
          <w:rFonts w:eastAsia="宋体"/>
          <w:b/>
          <w:lang w:val="en-GB" w:eastAsia="zh-CN"/>
        </w:rPr>
        <w:fldChar w:fldCharType="separate"/>
      </w:r>
      <w:r>
        <w:rPr>
          <w:b/>
        </w:rPr>
        <w:t>Figure 1</w:t>
      </w:r>
      <w:r>
        <w:rPr>
          <w:rFonts w:eastAsia="宋体"/>
          <w:b/>
          <w:lang w:val="en-GB" w:eastAsia="zh-CN"/>
        </w:rPr>
        <w:fldChar w:fldCharType="end"/>
      </w:r>
      <w:r>
        <w:rPr>
          <w:rFonts w:eastAsia="宋体"/>
          <w:lang w:val="en-GB" w:eastAsia="zh-CN"/>
        </w:rPr>
        <w:t xml:space="preserve">. A fake gNB is continuously monitoring UL channel and forwards MSG3 to an attacker UE after successful interception. At the same time the fake gNB sends RRC Reject to the UE. If the attacker UE is able to replay MSG3 and receives MSG4 (e.g., RRC Connection Release) from the real gNB, it will succeed in changing the UE state in the network. In this case, RRC state mismatch between UE and network happens, i.e. the UE is in RRC_INACTIVE but the network thinks the UE is in RRC_IDLE. The consequence would be subsequent resumption failure of RRC connection in the configured RAN area for the UE. </w:t>
      </w:r>
    </w:p>
    <w:p>
      <w:pPr>
        <w:pStyle w:val="3"/>
        <w:jc w:val="center"/>
        <w:rPr>
          <w:rFonts w:eastAsia="宋体"/>
          <w:lang w:val="en-GB" w:eastAsia="zh-CN"/>
        </w:rPr>
      </w:pPr>
      <w:r>
        <w:rPr>
          <w:rFonts w:eastAsia="宋体"/>
          <w:lang w:val="en-GB" w:eastAsia="zh-CN"/>
        </w:rPr>
        <w:drawing>
          <wp:inline distT="0" distB="0" distL="0" distR="0">
            <wp:extent cx="5367655" cy="26549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410905" cy="2676388"/>
                    </a:xfrm>
                    <a:prstGeom prst="rect">
                      <a:avLst/>
                    </a:prstGeom>
                    <a:noFill/>
                  </pic:spPr>
                </pic:pic>
              </a:graphicData>
            </a:graphic>
          </wp:inline>
        </w:drawing>
      </w:r>
    </w:p>
    <w:p>
      <w:pPr>
        <w:pStyle w:val="14"/>
        <w:jc w:val="center"/>
        <w:rPr>
          <w:b/>
        </w:rPr>
      </w:pPr>
      <w:bookmarkStart w:id="18" w:name="_Ref498637791"/>
      <w:bookmarkStart w:id="19" w:name="_Ref498637787"/>
      <w:r>
        <w:rPr>
          <w:b/>
        </w:rPr>
        <w:t xml:space="preserve">Figure </w:t>
      </w:r>
      <w:r>
        <w:rPr>
          <w:b/>
        </w:rPr>
        <w:fldChar w:fldCharType="begin"/>
      </w:r>
      <w:r>
        <w:rPr>
          <w:b/>
        </w:rPr>
        <w:instrText xml:space="preserve"> SEQ Figure \* ARABIC </w:instrText>
      </w:r>
      <w:r>
        <w:rPr>
          <w:b/>
        </w:rPr>
        <w:fldChar w:fldCharType="separate"/>
      </w:r>
      <w:r>
        <w:rPr>
          <w:b/>
        </w:rPr>
        <w:t>1</w:t>
      </w:r>
      <w:r>
        <w:rPr>
          <w:b/>
        </w:rPr>
        <w:fldChar w:fldCharType="end"/>
      </w:r>
      <w:bookmarkEnd w:id="18"/>
      <w:r>
        <w:rPr>
          <w:b/>
        </w:rPr>
        <w:t xml:space="preserve"> </w:t>
      </w:r>
      <w:r>
        <w:rPr>
          <w:rFonts w:eastAsia="等线"/>
          <w:b/>
        </w:rPr>
        <w:t>Example of MSG3 replay attack</w:t>
      </w:r>
      <w:bookmarkEnd w:id="19"/>
    </w:p>
    <w:p>
      <w:pPr>
        <w:jc w:val="both"/>
        <w:rPr>
          <w:rFonts w:eastAsia="宋体"/>
          <w:lang w:val="en-GB" w:eastAsia="zh-CN"/>
        </w:rPr>
      </w:pPr>
      <w:r>
        <w:rPr>
          <w:rFonts w:eastAsia="宋体"/>
          <w:lang w:val="en-GB" w:eastAsia="zh-CN"/>
        </w:rPr>
        <w:t xml:space="preserve">In order to cope with the aforementioned security issue, </w:t>
      </w:r>
      <w:r>
        <w:rPr>
          <w:rFonts w:eastAsia="宋体"/>
          <w:b/>
          <w:lang w:val="en-GB" w:eastAsia="zh-CN"/>
        </w:rPr>
        <w:t>Option 2</w:t>
      </w:r>
      <w:r>
        <w:rPr>
          <w:rFonts w:eastAsia="宋体"/>
          <w:lang w:val="en-GB" w:eastAsia="zh-CN"/>
        </w:rPr>
        <w:t xml:space="preserve"> is preferred, i.e., the MSG5 needs to be transmitted by UE in response to RRC Connection Release MSG4. Moreover, if Option 2 is agreed, it seems that the INACTIVE to IDLE needs a different procedural handling from the CONNECTED to IDLE/INACTIVE procedures. That is, the CONNECTED to IDLE/INACTIVE follow one step according to RAN2#98 agreements as below, while the INACTIVE to IDLE needs two steps (i.e., RRC Release MSG4 and RRC Release ‘complete’ MSG5).  </w:t>
      </w:r>
    </w:p>
    <w:p>
      <w:pPr>
        <w:jc w:val="both"/>
        <w:rPr>
          <w:rFonts w:eastAsia="宋体"/>
          <w:i/>
          <w:lang w:eastAsia="zh-CN"/>
        </w:rPr>
      </w:pPr>
    </w:p>
    <w:p>
      <w:pPr>
        <w:jc w:val="both"/>
        <w:rPr>
          <w:rFonts w:eastAsia="宋体"/>
          <w:i/>
          <w:lang w:eastAsia="zh-CN"/>
        </w:rPr>
      </w:pPr>
      <w:r>
        <w:rPr>
          <w:rFonts w:eastAsia="宋体"/>
          <w:i/>
          <w:lang w:eastAsia="zh-CN"/>
        </w:rPr>
        <w:t>RAN2#98 Agreements</w:t>
      </w:r>
    </w:p>
    <w:p>
      <w:pPr>
        <w:jc w:val="both"/>
        <w:rPr>
          <w:rFonts w:eastAsia="宋体"/>
          <w:i/>
          <w:lang w:eastAsia="zh-CN"/>
        </w:rPr>
      </w:pPr>
      <w:r>
        <w:rPr>
          <w:rFonts w:eastAsia="宋体"/>
          <w:i/>
          <w:lang w:eastAsia="zh-CN"/>
        </w:rPr>
        <w:t>1</w:t>
      </w:r>
      <w:r>
        <w:rPr>
          <w:rFonts w:eastAsia="宋体"/>
          <w:i/>
          <w:lang w:eastAsia="zh-CN"/>
        </w:rPr>
        <w:tab/>
      </w:r>
      <w:r>
        <w:rPr>
          <w:rFonts w:eastAsia="宋体"/>
          <w:i/>
          <w:lang w:eastAsia="zh-CN"/>
        </w:rPr>
        <w:t>The RRC state transition from CONNECTED to IDLE follows one step procedure (e.g. release).</w:t>
      </w:r>
    </w:p>
    <w:p>
      <w:pPr>
        <w:jc w:val="both"/>
        <w:rPr>
          <w:rFonts w:eastAsia="宋体"/>
          <w:lang w:val="en-GB" w:eastAsia="zh-CN"/>
        </w:rPr>
      </w:pPr>
      <w:r>
        <w:rPr>
          <w:rFonts w:eastAsia="宋体"/>
          <w:i/>
          <w:lang w:eastAsia="zh-CN"/>
        </w:rPr>
        <w:t>2</w:t>
      </w:r>
      <w:r>
        <w:rPr>
          <w:rFonts w:eastAsia="宋体"/>
          <w:i/>
          <w:lang w:eastAsia="zh-CN"/>
        </w:rPr>
        <w:tab/>
      </w:r>
      <w:r>
        <w:rPr>
          <w:rFonts w:eastAsia="宋体"/>
          <w:i/>
          <w:lang w:eastAsia="zh-CN"/>
        </w:rPr>
        <w:t>The RRC state transition from CONNECTED to INACTIVE follows one step procedure</w:t>
      </w:r>
    </w:p>
    <w:p>
      <w:pPr>
        <w:jc w:val="both"/>
        <w:rPr>
          <w:rFonts w:eastAsia="宋体"/>
          <w:lang w:eastAsia="zh-CN"/>
        </w:rPr>
      </w:pPr>
      <w:r>
        <w:rPr>
          <w:rFonts w:eastAsia="宋体"/>
          <w:lang w:val="en-GB" w:eastAsia="zh-CN"/>
        </w:rPr>
        <w:t xml:space="preserve">But we see no problem with </w:t>
      </w:r>
      <w:r>
        <w:rPr>
          <w:rFonts w:eastAsia="宋体"/>
          <w:b/>
          <w:lang w:val="en-GB" w:eastAsia="zh-CN"/>
        </w:rPr>
        <w:t>Option 2</w:t>
      </w:r>
      <w:r>
        <w:rPr>
          <w:rFonts w:eastAsia="宋体"/>
          <w:lang w:val="en-GB" w:eastAsia="zh-CN"/>
        </w:rPr>
        <w:t xml:space="preserve"> because the UE is able to make a right decision according to its initial UE RRC state. </w:t>
      </w:r>
      <w:r>
        <w:rPr>
          <w:lang w:val="en-GB"/>
        </w:rPr>
        <w:t xml:space="preserve">A UE that receives RRC Connection Release will send this RRC Connection Release ‘Complete’ message only when the UE is in RRC_INACTIVE. </w:t>
      </w:r>
      <w:r>
        <w:rPr>
          <w:rFonts w:eastAsia="宋体"/>
          <w:lang w:val="en-GB" w:eastAsia="zh-CN"/>
        </w:rPr>
        <w:t xml:space="preserve">The gNB will release the corresponding UE Context data only if the MSG5 complete is successfully received. In this way, the UE RRC state at UE side and gNB side are consistent. </w:t>
      </w:r>
    </w:p>
    <w:p>
      <w:pPr>
        <w:pStyle w:val="3"/>
        <w:rPr>
          <w:rFonts w:eastAsia="宋体"/>
          <w:lang w:val="en-GB" w:eastAsia="zh-CN"/>
        </w:rPr>
      </w:pPr>
      <w:bookmarkStart w:id="20" w:name="_Ref494433774"/>
      <w:bookmarkEnd w:id="20"/>
    </w:p>
    <w:p>
      <w:pPr>
        <w:pStyle w:val="14"/>
        <w:jc w:val="both"/>
        <w:rPr>
          <w:rFonts w:eastAsia="宋体"/>
          <w:b/>
          <w:lang w:eastAsia="zh-CN"/>
        </w:rPr>
      </w:pPr>
      <w:bookmarkStart w:id="21" w:name="_Ref498302571"/>
      <w:r>
        <w:rPr>
          <w:b/>
        </w:rPr>
        <w:t xml:space="preserve">Proposal  </w:t>
      </w:r>
      <w:r>
        <w:rPr>
          <w:b/>
        </w:rPr>
        <w:fldChar w:fldCharType="begin"/>
      </w:r>
      <w:r>
        <w:rPr>
          <w:b/>
        </w:rPr>
        <w:instrText xml:space="preserve"> SEQ Proposal_ \* ARABIC </w:instrText>
      </w:r>
      <w:r>
        <w:rPr>
          <w:b/>
        </w:rPr>
        <w:fldChar w:fldCharType="separate"/>
      </w:r>
      <w:r>
        <w:rPr>
          <w:b/>
        </w:rPr>
        <w:t>2</w:t>
      </w:r>
      <w:r>
        <w:rPr>
          <w:b/>
        </w:rPr>
        <w:fldChar w:fldCharType="end"/>
      </w:r>
      <w:r>
        <w:rPr>
          <w:b/>
        </w:rPr>
        <w:tab/>
      </w:r>
      <w:r>
        <w:rPr>
          <w:rFonts w:eastAsia="宋体"/>
          <w:b/>
          <w:lang w:eastAsia="zh-CN"/>
        </w:rPr>
        <w:t>MSG5 complete message is needed if the received MSG4 is the RRC Connection Release kind of message for RRC transition from INACTIVE to IDLE, in order to avoid security issue caused by MSG3 replay attack.</w:t>
      </w:r>
      <w:bookmarkEnd w:id="21"/>
    </w:p>
    <w:p>
      <w:pPr>
        <w:pStyle w:val="3"/>
        <w:rPr>
          <w:rFonts w:eastAsiaTheme="minorEastAsia"/>
          <w:lang w:val="en-GB" w:eastAsia="zh-CN"/>
        </w:rPr>
      </w:pPr>
    </w:p>
    <w:p>
      <w:pPr>
        <w:pStyle w:val="2"/>
        <w:keepLines/>
        <w:numPr>
          <w:ilvl w:val="0"/>
          <w:numId w:val="5"/>
        </w:numPr>
        <w:pBdr>
          <w:top w:val="single" w:color="auto" w:sz="12" w:space="3"/>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hint="eastAsia" w:cs="Times New Roman"/>
          <w:b w:val="0"/>
          <w:bCs w:val="0"/>
          <w:kern w:val="0"/>
          <w:sz w:val="36"/>
          <w:szCs w:val="20"/>
          <w:lang w:val="fr-FR"/>
        </w:rPr>
        <w:t>Conclusion</w:t>
      </w:r>
    </w:p>
    <w:p>
      <w:pPr>
        <w:pStyle w:val="3"/>
        <w:rPr>
          <w:rFonts w:eastAsia="宋体"/>
          <w:lang w:eastAsia="zh-CN"/>
        </w:rPr>
      </w:pPr>
      <w:r>
        <w:rPr>
          <w:rFonts w:hint="eastAsia" w:eastAsia="宋体"/>
          <w:lang w:eastAsia="zh-CN"/>
        </w:rPr>
        <w:t xml:space="preserve">In this contribution, </w:t>
      </w:r>
      <w:r>
        <w:rPr>
          <w:rFonts w:eastAsia="宋体"/>
          <w:lang w:eastAsia="zh-CN"/>
        </w:rPr>
        <w:t xml:space="preserve">potential issues on the network triggered RRC connection release have been discussed, based on which some observations and </w:t>
      </w:r>
      <w:r>
        <w:rPr>
          <w:rFonts w:hint="eastAsia" w:eastAsia="宋体"/>
          <w:lang w:eastAsia="zh-CN"/>
        </w:rPr>
        <w:t>proposals</w:t>
      </w:r>
      <w:r>
        <w:rPr>
          <w:rFonts w:eastAsia="宋体"/>
          <w:lang w:eastAsia="zh-CN"/>
        </w:rPr>
        <w:t xml:space="preserve"> are given as follows.</w:t>
      </w:r>
    </w:p>
    <w:p>
      <w:pPr>
        <w:pStyle w:val="3"/>
        <w:rPr>
          <w:rFonts w:eastAsia="宋体"/>
          <w:lang w:eastAsia="zh-CN"/>
        </w:rPr>
      </w:pPr>
      <w:r>
        <w:rPr>
          <w:rFonts w:eastAsia="宋体"/>
          <w:lang w:eastAsia="zh-CN"/>
        </w:rPr>
        <w:fldChar w:fldCharType="begin"/>
      </w:r>
      <w:r>
        <w:rPr>
          <w:rFonts w:eastAsia="宋体"/>
          <w:lang w:eastAsia="zh-CN"/>
        </w:rPr>
        <w:instrText xml:space="preserve"> </w:instrText>
      </w:r>
      <w:r>
        <w:rPr>
          <w:rFonts w:hint="eastAsia" w:eastAsia="宋体"/>
          <w:lang w:eastAsia="zh-CN"/>
        </w:rPr>
        <w:instrText xml:space="preserve">REF _Ref498605500 \h</w:instrText>
      </w:r>
      <w:r>
        <w:rPr>
          <w:rFonts w:eastAsia="宋体"/>
          <w:lang w:eastAsia="zh-CN"/>
        </w:rPr>
        <w:instrText xml:space="preserve"> </w:instrText>
      </w:r>
      <w:r>
        <w:rPr>
          <w:rFonts w:eastAsia="宋体"/>
          <w:lang w:eastAsia="zh-CN"/>
        </w:rPr>
        <w:fldChar w:fldCharType="separate"/>
      </w:r>
      <w:r>
        <w:rPr>
          <w:b/>
        </w:rPr>
        <w:t>Observation 1</w:t>
      </w:r>
      <w:r>
        <w:rPr>
          <w:rFonts w:eastAsia="宋体"/>
          <w:b/>
          <w:lang w:eastAsia="zh-CN"/>
        </w:rPr>
        <w:tab/>
      </w:r>
      <w:r>
        <w:rPr>
          <w:rFonts w:eastAsia="宋体"/>
          <w:b/>
          <w:lang w:eastAsia="zh-CN"/>
        </w:rPr>
        <w:t>The RRC message used for transition from INACTIVE to IDLE, CONNECTED to IDLE, and CONNECTED to INACTIVE are sent over the same logical channel (i.e. DCCH) and radio bear (i.e. SRB1).</w:t>
      </w:r>
      <w:r>
        <w:rPr>
          <w:rFonts w:eastAsia="宋体"/>
          <w:lang w:eastAsia="zh-CN"/>
        </w:rPr>
        <w:fldChar w:fldCharType="end"/>
      </w:r>
    </w:p>
    <w:p>
      <w:pPr>
        <w:pStyle w:val="3"/>
        <w:rPr>
          <w:rFonts w:eastAsia="宋体"/>
          <w:lang w:eastAsia="zh-CN"/>
        </w:rPr>
      </w:pPr>
      <w:r>
        <w:rPr>
          <w:rFonts w:eastAsia="宋体"/>
          <w:lang w:eastAsia="zh-CN"/>
        </w:rPr>
        <w:fldChar w:fldCharType="begin"/>
      </w:r>
      <w:r>
        <w:rPr>
          <w:rFonts w:eastAsia="宋体"/>
          <w:lang w:eastAsia="zh-CN"/>
        </w:rPr>
        <w:instrText xml:space="preserve"> REF _Ref510652287 \h </w:instrText>
      </w:r>
      <w:r>
        <w:rPr>
          <w:rFonts w:eastAsia="宋体"/>
          <w:lang w:eastAsia="zh-CN"/>
        </w:rPr>
        <w:fldChar w:fldCharType="separate"/>
      </w:r>
      <w:r>
        <w:rPr>
          <w:b/>
        </w:rPr>
        <w:t>Observation 2</w:t>
      </w:r>
      <w:r>
        <w:rPr>
          <w:rFonts w:eastAsia="宋体"/>
          <w:b/>
          <w:lang w:eastAsia="zh-CN"/>
        </w:rPr>
        <w:t xml:space="preserve"> </w:t>
      </w:r>
      <w:r>
        <w:rPr>
          <w:rFonts w:eastAsia="宋体"/>
          <w:b/>
          <w:lang w:eastAsia="zh-CN"/>
        </w:rPr>
        <w:tab/>
      </w:r>
      <w:r>
        <w:rPr>
          <w:rFonts w:eastAsia="宋体"/>
          <w:b/>
          <w:lang w:eastAsia="zh-CN"/>
        </w:rPr>
        <w:t>The same necessary content carried over RRC message for transition from INACTIVE to IDLE, CONNECTED to IDLE, and CONNECTED to INACTIVE are cause information, redirect carrier frequency and mode mobility control information, which covers nearly half of the total listed IEs.</w:t>
      </w:r>
      <w:r>
        <w:rPr>
          <w:rFonts w:eastAsia="宋体"/>
          <w:lang w:eastAsia="zh-CN"/>
        </w:rPr>
        <w:fldChar w:fldCharType="end"/>
      </w:r>
    </w:p>
    <w:p>
      <w:pPr>
        <w:pStyle w:val="3"/>
        <w:rPr>
          <w:rFonts w:eastAsia="宋体"/>
          <w:lang w:eastAsia="zh-CN"/>
        </w:rPr>
      </w:pPr>
      <w:r>
        <w:rPr>
          <w:rFonts w:eastAsia="宋体"/>
          <w:lang w:eastAsia="zh-CN"/>
        </w:rPr>
        <w:fldChar w:fldCharType="begin"/>
      </w:r>
      <w:r>
        <w:rPr>
          <w:rFonts w:eastAsia="宋体"/>
          <w:lang w:eastAsia="zh-CN"/>
        </w:rPr>
        <w:instrText xml:space="preserve"> REF _Ref498605508 \h </w:instrText>
      </w:r>
      <w:r>
        <w:rPr>
          <w:rFonts w:eastAsia="宋体"/>
          <w:lang w:eastAsia="zh-CN"/>
        </w:rPr>
        <w:fldChar w:fldCharType="separate"/>
      </w:r>
      <w:r>
        <w:rPr>
          <w:b/>
        </w:rPr>
        <w:t>Observation 3</w:t>
      </w:r>
      <w:r>
        <w:rPr>
          <w:b/>
        </w:rPr>
        <w:tab/>
      </w:r>
      <w:r>
        <w:rPr>
          <w:rFonts w:eastAsia="宋体"/>
          <w:b/>
          <w:bCs/>
          <w:lang w:eastAsia="zh-CN"/>
        </w:rPr>
        <w:t>RRC message design should avoid introducing several messages with similar content/ similar procedural handling.</w:t>
      </w:r>
      <w:r>
        <w:rPr>
          <w:rFonts w:eastAsia="宋体"/>
          <w:lang w:eastAsia="zh-CN"/>
        </w:rPr>
        <w:fldChar w:fldCharType="end"/>
      </w:r>
    </w:p>
    <w:p>
      <w:pPr>
        <w:pStyle w:val="3"/>
        <w:rPr>
          <w:rFonts w:eastAsia="宋体"/>
          <w:lang w:eastAsia="zh-CN"/>
        </w:rPr>
      </w:pPr>
      <w:r>
        <w:rPr>
          <w:rFonts w:eastAsia="宋体"/>
          <w:lang w:eastAsia="zh-CN"/>
        </w:rPr>
        <w:fldChar w:fldCharType="begin"/>
      </w:r>
      <w:r>
        <w:rPr>
          <w:rFonts w:eastAsia="宋体"/>
          <w:lang w:eastAsia="zh-CN"/>
        </w:rPr>
        <w:instrText xml:space="preserve"> REF _Ref498302568 \h </w:instrText>
      </w:r>
      <w:r>
        <w:rPr>
          <w:rFonts w:eastAsia="宋体"/>
          <w:lang w:eastAsia="zh-CN"/>
        </w:rPr>
        <w:fldChar w:fldCharType="separate"/>
      </w:r>
      <w:r>
        <w:rPr>
          <w:b/>
          <w:szCs w:val="20"/>
        </w:rPr>
        <w:t>Proposal  1</w:t>
      </w:r>
      <w:r>
        <w:rPr>
          <w:b/>
          <w:szCs w:val="20"/>
        </w:rPr>
        <w:tab/>
      </w:r>
      <w:r>
        <w:rPr>
          <w:b/>
          <w:szCs w:val="20"/>
        </w:rPr>
        <w:t>The same RRC Connection Release kind of message is used for RRC transition from INACTIVE to IDLE, CONNECTED to IDLE, and CONNECTED to INACTIVE, in order to avoid introducing three messages with similar content/ similar procedure handling.</w:t>
      </w:r>
      <w:r>
        <w:rPr>
          <w:rFonts w:eastAsia="宋体"/>
          <w:lang w:eastAsia="zh-CN"/>
        </w:rPr>
        <w:fldChar w:fldCharType="end"/>
      </w:r>
    </w:p>
    <w:p>
      <w:pPr>
        <w:pStyle w:val="3"/>
        <w:rPr>
          <w:rFonts w:hint="eastAsia" w:eastAsia="宋体"/>
          <w:lang w:eastAsia="zh-CN"/>
        </w:rPr>
      </w:pPr>
      <w:r>
        <w:rPr>
          <w:rFonts w:eastAsia="宋体"/>
          <w:lang w:eastAsia="zh-CN"/>
        </w:rPr>
        <w:fldChar w:fldCharType="begin"/>
      </w:r>
      <w:r>
        <w:rPr>
          <w:rFonts w:eastAsia="宋体"/>
          <w:lang w:eastAsia="zh-CN"/>
        </w:rPr>
        <w:instrText xml:space="preserve"> REF _Ref498302571 \h </w:instrText>
      </w:r>
      <w:r>
        <w:rPr>
          <w:rFonts w:eastAsia="宋体"/>
          <w:lang w:eastAsia="zh-CN"/>
        </w:rPr>
        <w:fldChar w:fldCharType="separate"/>
      </w:r>
      <w:r>
        <w:rPr>
          <w:b/>
        </w:rPr>
        <w:t>Proposal  2</w:t>
      </w:r>
      <w:r>
        <w:rPr>
          <w:b/>
        </w:rPr>
        <w:tab/>
      </w:r>
      <w:r>
        <w:rPr>
          <w:rFonts w:eastAsia="宋体"/>
          <w:b/>
          <w:lang w:eastAsia="zh-CN"/>
        </w:rPr>
        <w:t>MSG5 complete message is needed if the received MSG4 is the RRC Connection Release kind of message for RRC transition from INACTIVE to IDLE, in order to avoid security issue caused by MSG3 replay attack.</w:t>
      </w:r>
      <w:r>
        <w:rPr>
          <w:rFonts w:eastAsia="宋体"/>
          <w:lang w:eastAsia="zh-CN"/>
        </w:rPr>
        <w:fldChar w:fldCharType="end"/>
      </w:r>
    </w:p>
    <w:p>
      <w:pPr>
        <w:pStyle w:val="2"/>
        <w:keepLines/>
        <w:numPr>
          <w:ilvl w:val="0"/>
          <w:numId w:val="5"/>
        </w:numPr>
        <w:pBdr>
          <w:top w:val="single" w:color="auto" w:sz="12" w:space="3"/>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hint="eastAsia" w:cs="Times New Roman"/>
          <w:b w:val="0"/>
          <w:bCs w:val="0"/>
          <w:kern w:val="0"/>
          <w:sz w:val="36"/>
          <w:szCs w:val="20"/>
          <w:lang w:val="fr-FR"/>
        </w:rPr>
        <w:t>Reference</w:t>
      </w:r>
    </w:p>
    <w:p>
      <w:pPr>
        <w:pStyle w:val="3"/>
        <w:numPr>
          <w:ilvl w:val="0"/>
          <w:numId w:val="7"/>
        </w:numPr>
        <w:rPr>
          <w:rFonts w:eastAsia="宋体"/>
          <w:kern w:val="2"/>
          <w:szCs w:val="20"/>
          <w:lang w:eastAsia="zh-CN"/>
        </w:rPr>
      </w:pPr>
      <w:bookmarkStart w:id="22" w:name="_Ref494412739"/>
      <w:r>
        <w:rPr>
          <w:rFonts w:eastAsia="宋体"/>
          <w:kern w:val="2"/>
          <w:szCs w:val="20"/>
          <w:lang w:eastAsia="zh-CN"/>
        </w:rPr>
        <w:t>3GPP RAN2#97bis Meeting Chairman Notes, Spokane, USA, April 2017.</w:t>
      </w:r>
    </w:p>
    <w:p>
      <w:pPr>
        <w:pStyle w:val="3"/>
        <w:numPr>
          <w:ilvl w:val="0"/>
          <w:numId w:val="7"/>
        </w:numPr>
        <w:rPr>
          <w:rFonts w:eastAsia="宋体"/>
          <w:kern w:val="2"/>
          <w:szCs w:val="20"/>
          <w:lang w:eastAsia="zh-CN"/>
        </w:rPr>
      </w:pPr>
      <w:r>
        <w:rPr>
          <w:rFonts w:eastAsia="宋体"/>
          <w:kern w:val="2"/>
          <w:szCs w:val="20"/>
          <w:lang w:eastAsia="zh-CN"/>
        </w:rPr>
        <w:t>3GPP RAN2#98 Meeting Chairman Notes, Hangzhou, China, May 2017.</w:t>
      </w:r>
    </w:p>
    <w:p>
      <w:pPr>
        <w:pStyle w:val="3"/>
        <w:numPr>
          <w:ilvl w:val="0"/>
          <w:numId w:val="7"/>
        </w:numPr>
        <w:rPr>
          <w:rFonts w:eastAsia="宋体"/>
          <w:kern w:val="2"/>
          <w:szCs w:val="20"/>
          <w:lang w:eastAsia="zh-CN"/>
        </w:rPr>
      </w:pPr>
      <w:r>
        <w:rPr>
          <w:rFonts w:eastAsia="宋体"/>
          <w:kern w:val="2"/>
          <w:szCs w:val="20"/>
          <w:lang w:eastAsia="zh-CN"/>
        </w:rPr>
        <w:t>3GPP RAN2#99 Meeting Chairman Notes, Berlin, German, August 2017.</w:t>
      </w:r>
    </w:p>
    <w:p>
      <w:pPr>
        <w:pStyle w:val="3"/>
        <w:numPr>
          <w:ilvl w:val="0"/>
          <w:numId w:val="7"/>
        </w:numPr>
        <w:rPr>
          <w:rFonts w:eastAsia="宋体"/>
          <w:kern w:val="2"/>
          <w:szCs w:val="20"/>
          <w:lang w:eastAsia="zh-CN"/>
        </w:rPr>
      </w:pPr>
      <w:bookmarkStart w:id="23" w:name="_Ref498364168"/>
      <w:r>
        <w:rPr>
          <w:rFonts w:eastAsia="宋体"/>
          <w:kern w:val="2"/>
          <w:szCs w:val="20"/>
          <w:lang w:eastAsia="zh-CN"/>
        </w:rPr>
        <w:t>3GPP RAN2#99</w:t>
      </w:r>
      <w:r>
        <w:rPr>
          <w:rFonts w:hint="eastAsia" w:eastAsia="宋体"/>
          <w:kern w:val="2"/>
          <w:szCs w:val="20"/>
          <w:lang w:eastAsia="zh-CN"/>
        </w:rPr>
        <w:t>bis</w:t>
      </w:r>
      <w:r>
        <w:rPr>
          <w:rFonts w:eastAsia="宋体"/>
          <w:kern w:val="2"/>
          <w:szCs w:val="20"/>
          <w:lang w:eastAsia="zh-CN"/>
        </w:rPr>
        <w:t xml:space="preserve"> Meeting Chairman Notes, Prague, Czech Republic, October 2017.</w:t>
      </w:r>
      <w:bookmarkEnd w:id="22"/>
      <w:bookmarkEnd w:id="23"/>
    </w:p>
    <w:bookmarkEnd w:id="5"/>
    <w:bookmarkEnd w:id="6"/>
    <w:p>
      <w:pPr>
        <w:pStyle w:val="3"/>
        <w:rPr>
          <w:rFonts w:eastAsia="宋体"/>
          <w:lang w:eastAsia="zh-CN"/>
        </w:rPr>
      </w:pPr>
    </w:p>
    <w:sectPr>
      <w:headerReference r:id="rId3" w:type="default"/>
      <w:pgSz w:w="11906" w:h="16838"/>
      <w:pgMar w:top="284"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721211"/>
    <w:multiLevelType w:val="multilevel"/>
    <w:tmpl w:val="1F721211"/>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0DE34BC"/>
    <w:multiLevelType w:val="singleLevel"/>
    <w:tmpl w:val="40DE34BC"/>
    <w:lvl w:ilvl="0" w:tentative="0">
      <w:start w:val="1"/>
      <w:numFmt w:val="decimal"/>
      <w:pStyle w:val="37"/>
      <w:lvlText w:val="%1."/>
      <w:lvlJc w:val="left"/>
      <w:pPr>
        <w:tabs>
          <w:tab w:val="left" w:pos="360"/>
        </w:tabs>
        <w:ind w:left="360" w:hanging="360"/>
      </w:pPr>
    </w:lvl>
  </w:abstractNum>
  <w:abstractNum w:abstractNumId="2">
    <w:nsid w:val="56815BE2"/>
    <w:multiLevelType w:val="multilevel"/>
    <w:tmpl w:val="56815BE2"/>
    <w:lvl w:ilvl="0" w:tentative="0">
      <w:start w:val="1"/>
      <w:numFmt w:val="decimal"/>
      <w:pStyle w:val="36"/>
      <w:lvlText w:val="[%1]"/>
      <w:lvlJc w:val="left"/>
      <w:pPr>
        <w:tabs>
          <w:tab w:val="left" w:pos="567"/>
        </w:tabs>
        <w:ind w:left="0" w:firstLine="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4">
    <w:nsid w:val="736D6E2A"/>
    <w:multiLevelType w:val="multilevel"/>
    <w:tmpl w:val="736D6E2A"/>
    <w:lvl w:ilvl="0" w:tentative="0">
      <w:start w:val="1"/>
      <w:numFmt w:val="decimal"/>
      <w:pStyle w:val="16"/>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567"/>
        </w:tabs>
        <w:ind w:left="567" w:hanging="567"/>
      </w:pPr>
      <w:rPr>
        <w:rFonts w:hint="default"/>
        <w:u w:val="none"/>
      </w:rPr>
    </w:lvl>
    <w:lvl w:ilvl="2" w:tentative="0">
      <w:start w:val="1"/>
      <w:numFmt w:val="decimal"/>
      <w:pStyle w:val="5"/>
      <w:lvlText w:val="%1.%2.%3"/>
      <w:lvlJc w:val="left"/>
      <w:pPr>
        <w:tabs>
          <w:tab w:val="left" w:pos="-5500"/>
        </w:tabs>
        <w:ind w:left="-2949" w:hanging="1304"/>
      </w:pPr>
      <w:rPr>
        <w:rFonts w:hint="default"/>
        <w:u w:val="none"/>
      </w:rPr>
    </w:lvl>
    <w:lvl w:ilvl="3" w:tentative="0">
      <w:start w:val="1"/>
      <w:numFmt w:val="decimal"/>
      <w:pStyle w:val="6"/>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abstractNum w:abstractNumId="6">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5"/>
  </w:num>
  <w:num w:numId="2">
    <w:abstractNumId w:val="4"/>
  </w:num>
  <w:num w:numId="3">
    <w:abstractNumId w:val="2"/>
  </w:num>
  <w:num w:numId="4">
    <w:abstractNumId w:val="1"/>
  </w:num>
  <w:num w:numId="5">
    <w:abstractNumId w:val="3"/>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characterSpacingControl w:val="doNotCompress"/>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DC9"/>
    <w:rsid w:val="0000069E"/>
    <w:rsid w:val="00002134"/>
    <w:rsid w:val="0000314A"/>
    <w:rsid w:val="00003886"/>
    <w:rsid w:val="00003C4B"/>
    <w:rsid w:val="0000410D"/>
    <w:rsid w:val="0000460A"/>
    <w:rsid w:val="000046EA"/>
    <w:rsid w:val="00004F59"/>
    <w:rsid w:val="00005012"/>
    <w:rsid w:val="0000539E"/>
    <w:rsid w:val="000054C0"/>
    <w:rsid w:val="00005C4B"/>
    <w:rsid w:val="00005C84"/>
    <w:rsid w:val="000060C1"/>
    <w:rsid w:val="000063A7"/>
    <w:rsid w:val="000065F8"/>
    <w:rsid w:val="0000694F"/>
    <w:rsid w:val="00006ED9"/>
    <w:rsid w:val="0001005D"/>
    <w:rsid w:val="0001068D"/>
    <w:rsid w:val="00010791"/>
    <w:rsid w:val="000116A5"/>
    <w:rsid w:val="00011C8C"/>
    <w:rsid w:val="00011F30"/>
    <w:rsid w:val="00011FFB"/>
    <w:rsid w:val="00012414"/>
    <w:rsid w:val="0001245D"/>
    <w:rsid w:val="000124C4"/>
    <w:rsid w:val="000126F3"/>
    <w:rsid w:val="000137AA"/>
    <w:rsid w:val="000143B7"/>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754F"/>
    <w:rsid w:val="00030815"/>
    <w:rsid w:val="00030BD6"/>
    <w:rsid w:val="00030DFC"/>
    <w:rsid w:val="000325F7"/>
    <w:rsid w:val="00032D51"/>
    <w:rsid w:val="0003374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047A"/>
    <w:rsid w:val="00040AB3"/>
    <w:rsid w:val="000412E1"/>
    <w:rsid w:val="00041E6C"/>
    <w:rsid w:val="000421F2"/>
    <w:rsid w:val="00042725"/>
    <w:rsid w:val="00042955"/>
    <w:rsid w:val="00042FE1"/>
    <w:rsid w:val="0004351F"/>
    <w:rsid w:val="000439E7"/>
    <w:rsid w:val="00043CBD"/>
    <w:rsid w:val="00043F7C"/>
    <w:rsid w:val="00044275"/>
    <w:rsid w:val="00044623"/>
    <w:rsid w:val="00045071"/>
    <w:rsid w:val="000458FF"/>
    <w:rsid w:val="00045937"/>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9EA"/>
    <w:rsid w:val="00055E49"/>
    <w:rsid w:val="000562A5"/>
    <w:rsid w:val="000569FE"/>
    <w:rsid w:val="00057BFD"/>
    <w:rsid w:val="00060B85"/>
    <w:rsid w:val="00060CE4"/>
    <w:rsid w:val="000613E6"/>
    <w:rsid w:val="00062C04"/>
    <w:rsid w:val="0006415F"/>
    <w:rsid w:val="000641A0"/>
    <w:rsid w:val="0006433A"/>
    <w:rsid w:val="000643C3"/>
    <w:rsid w:val="000643CC"/>
    <w:rsid w:val="000646EA"/>
    <w:rsid w:val="000647E2"/>
    <w:rsid w:val="00065510"/>
    <w:rsid w:val="000658F2"/>
    <w:rsid w:val="0006633A"/>
    <w:rsid w:val="00066EFF"/>
    <w:rsid w:val="00066F3B"/>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164"/>
    <w:rsid w:val="00076367"/>
    <w:rsid w:val="0007680E"/>
    <w:rsid w:val="00076A2B"/>
    <w:rsid w:val="00076E3A"/>
    <w:rsid w:val="00077878"/>
    <w:rsid w:val="00077C76"/>
    <w:rsid w:val="00077DB2"/>
    <w:rsid w:val="000804E1"/>
    <w:rsid w:val="000810A7"/>
    <w:rsid w:val="00081472"/>
    <w:rsid w:val="000816BB"/>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7CF0"/>
    <w:rsid w:val="00090508"/>
    <w:rsid w:val="00090FD2"/>
    <w:rsid w:val="00091360"/>
    <w:rsid w:val="00091C53"/>
    <w:rsid w:val="00091C8C"/>
    <w:rsid w:val="000921C6"/>
    <w:rsid w:val="000921EC"/>
    <w:rsid w:val="0009234A"/>
    <w:rsid w:val="00092ADB"/>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68D"/>
    <w:rsid w:val="000A07A7"/>
    <w:rsid w:val="000A09D3"/>
    <w:rsid w:val="000A1A4E"/>
    <w:rsid w:val="000A1BC9"/>
    <w:rsid w:val="000A2B56"/>
    <w:rsid w:val="000A2D2E"/>
    <w:rsid w:val="000A2DF4"/>
    <w:rsid w:val="000A3032"/>
    <w:rsid w:val="000A3167"/>
    <w:rsid w:val="000A3FE9"/>
    <w:rsid w:val="000A4366"/>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9D"/>
    <w:rsid w:val="000B33C6"/>
    <w:rsid w:val="000B36EE"/>
    <w:rsid w:val="000B3F5F"/>
    <w:rsid w:val="000B40D1"/>
    <w:rsid w:val="000B555C"/>
    <w:rsid w:val="000B5F99"/>
    <w:rsid w:val="000B6824"/>
    <w:rsid w:val="000B6BBD"/>
    <w:rsid w:val="000C0172"/>
    <w:rsid w:val="000C06A6"/>
    <w:rsid w:val="000C0DBF"/>
    <w:rsid w:val="000C0DE3"/>
    <w:rsid w:val="000C1001"/>
    <w:rsid w:val="000C1B5F"/>
    <w:rsid w:val="000C2208"/>
    <w:rsid w:val="000C2225"/>
    <w:rsid w:val="000C2570"/>
    <w:rsid w:val="000C31B8"/>
    <w:rsid w:val="000C401D"/>
    <w:rsid w:val="000C4D73"/>
    <w:rsid w:val="000C515A"/>
    <w:rsid w:val="000D13EC"/>
    <w:rsid w:val="000D1808"/>
    <w:rsid w:val="000D1893"/>
    <w:rsid w:val="000D1E97"/>
    <w:rsid w:val="000D2554"/>
    <w:rsid w:val="000D284E"/>
    <w:rsid w:val="000D30E4"/>
    <w:rsid w:val="000D3112"/>
    <w:rsid w:val="000D360C"/>
    <w:rsid w:val="000D3A53"/>
    <w:rsid w:val="000D3C4D"/>
    <w:rsid w:val="000D51A1"/>
    <w:rsid w:val="000D5391"/>
    <w:rsid w:val="000D53F0"/>
    <w:rsid w:val="000D74DB"/>
    <w:rsid w:val="000E068D"/>
    <w:rsid w:val="000E0F87"/>
    <w:rsid w:val="000E1909"/>
    <w:rsid w:val="000E3C6B"/>
    <w:rsid w:val="000E4629"/>
    <w:rsid w:val="000E52C5"/>
    <w:rsid w:val="000E61BF"/>
    <w:rsid w:val="000E7159"/>
    <w:rsid w:val="000E7E98"/>
    <w:rsid w:val="000E7F62"/>
    <w:rsid w:val="000F00ED"/>
    <w:rsid w:val="000F1063"/>
    <w:rsid w:val="000F11F0"/>
    <w:rsid w:val="000F1F75"/>
    <w:rsid w:val="000F26CF"/>
    <w:rsid w:val="000F286C"/>
    <w:rsid w:val="000F306D"/>
    <w:rsid w:val="000F332B"/>
    <w:rsid w:val="000F38D0"/>
    <w:rsid w:val="000F3F5E"/>
    <w:rsid w:val="000F4FA4"/>
    <w:rsid w:val="000F57D5"/>
    <w:rsid w:val="000F62FB"/>
    <w:rsid w:val="000F64C8"/>
    <w:rsid w:val="000F6E9B"/>
    <w:rsid w:val="000F71D0"/>
    <w:rsid w:val="000F75EA"/>
    <w:rsid w:val="000F761D"/>
    <w:rsid w:val="000F7D04"/>
    <w:rsid w:val="001005AB"/>
    <w:rsid w:val="001009E1"/>
    <w:rsid w:val="00100BF4"/>
    <w:rsid w:val="001013FA"/>
    <w:rsid w:val="001017CA"/>
    <w:rsid w:val="00101E92"/>
    <w:rsid w:val="00102B5F"/>
    <w:rsid w:val="001032FB"/>
    <w:rsid w:val="00103937"/>
    <w:rsid w:val="0010493D"/>
    <w:rsid w:val="00104DA0"/>
    <w:rsid w:val="00104FE6"/>
    <w:rsid w:val="00105160"/>
    <w:rsid w:val="001053C1"/>
    <w:rsid w:val="00105570"/>
    <w:rsid w:val="001056CB"/>
    <w:rsid w:val="00105812"/>
    <w:rsid w:val="001067A4"/>
    <w:rsid w:val="00106BC9"/>
    <w:rsid w:val="00107304"/>
    <w:rsid w:val="001109E6"/>
    <w:rsid w:val="001113AF"/>
    <w:rsid w:val="00111719"/>
    <w:rsid w:val="00112095"/>
    <w:rsid w:val="001120FC"/>
    <w:rsid w:val="001128A8"/>
    <w:rsid w:val="00112F21"/>
    <w:rsid w:val="0011300A"/>
    <w:rsid w:val="0011322D"/>
    <w:rsid w:val="00113355"/>
    <w:rsid w:val="001135BA"/>
    <w:rsid w:val="00114BD9"/>
    <w:rsid w:val="00114F04"/>
    <w:rsid w:val="001151F9"/>
    <w:rsid w:val="00115911"/>
    <w:rsid w:val="00117296"/>
    <w:rsid w:val="00117423"/>
    <w:rsid w:val="001174AC"/>
    <w:rsid w:val="0011759E"/>
    <w:rsid w:val="0012025C"/>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1EE1"/>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413"/>
    <w:rsid w:val="001405C9"/>
    <w:rsid w:val="00140A67"/>
    <w:rsid w:val="001410A9"/>
    <w:rsid w:val="00141507"/>
    <w:rsid w:val="00141757"/>
    <w:rsid w:val="00141AC2"/>
    <w:rsid w:val="00141B8E"/>
    <w:rsid w:val="001421D0"/>
    <w:rsid w:val="0014227B"/>
    <w:rsid w:val="001426D9"/>
    <w:rsid w:val="0014290D"/>
    <w:rsid w:val="00143BD9"/>
    <w:rsid w:val="0014405C"/>
    <w:rsid w:val="0014440C"/>
    <w:rsid w:val="00144D06"/>
    <w:rsid w:val="001451C4"/>
    <w:rsid w:val="00145AFF"/>
    <w:rsid w:val="00145B6F"/>
    <w:rsid w:val="00145D21"/>
    <w:rsid w:val="00146069"/>
    <w:rsid w:val="00146445"/>
    <w:rsid w:val="001465B0"/>
    <w:rsid w:val="00147F44"/>
    <w:rsid w:val="001503DA"/>
    <w:rsid w:val="0015097A"/>
    <w:rsid w:val="001511AD"/>
    <w:rsid w:val="0015172E"/>
    <w:rsid w:val="00151BB2"/>
    <w:rsid w:val="00152BDE"/>
    <w:rsid w:val="00153000"/>
    <w:rsid w:val="0015312D"/>
    <w:rsid w:val="00153307"/>
    <w:rsid w:val="00153B22"/>
    <w:rsid w:val="00154789"/>
    <w:rsid w:val="00154F45"/>
    <w:rsid w:val="00155B12"/>
    <w:rsid w:val="00155CD9"/>
    <w:rsid w:val="001563BA"/>
    <w:rsid w:val="00156CCB"/>
    <w:rsid w:val="00156EF4"/>
    <w:rsid w:val="00157A72"/>
    <w:rsid w:val="00157BD9"/>
    <w:rsid w:val="00157E43"/>
    <w:rsid w:val="001603FC"/>
    <w:rsid w:val="00160C79"/>
    <w:rsid w:val="00161189"/>
    <w:rsid w:val="00161DC1"/>
    <w:rsid w:val="00161E41"/>
    <w:rsid w:val="001631C7"/>
    <w:rsid w:val="0016331D"/>
    <w:rsid w:val="00163436"/>
    <w:rsid w:val="0016414E"/>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528"/>
    <w:rsid w:val="00177CD9"/>
    <w:rsid w:val="001803D5"/>
    <w:rsid w:val="00180604"/>
    <w:rsid w:val="001809D2"/>
    <w:rsid w:val="00180CB0"/>
    <w:rsid w:val="001829FA"/>
    <w:rsid w:val="00183510"/>
    <w:rsid w:val="0018370D"/>
    <w:rsid w:val="00183C8D"/>
    <w:rsid w:val="00184249"/>
    <w:rsid w:val="001855E4"/>
    <w:rsid w:val="0018573F"/>
    <w:rsid w:val="00185B5F"/>
    <w:rsid w:val="001862F2"/>
    <w:rsid w:val="00186DEA"/>
    <w:rsid w:val="00187F78"/>
    <w:rsid w:val="001907C4"/>
    <w:rsid w:val="001915A5"/>
    <w:rsid w:val="0019214A"/>
    <w:rsid w:val="001927F4"/>
    <w:rsid w:val="001928FA"/>
    <w:rsid w:val="001929DB"/>
    <w:rsid w:val="001932DB"/>
    <w:rsid w:val="00193FB1"/>
    <w:rsid w:val="0019423B"/>
    <w:rsid w:val="0019460C"/>
    <w:rsid w:val="00194C1C"/>
    <w:rsid w:val="00196DC5"/>
    <w:rsid w:val="001970DE"/>
    <w:rsid w:val="00197B2C"/>
    <w:rsid w:val="00197D73"/>
    <w:rsid w:val="001A016F"/>
    <w:rsid w:val="001A0275"/>
    <w:rsid w:val="001A181F"/>
    <w:rsid w:val="001A1CCE"/>
    <w:rsid w:val="001A2279"/>
    <w:rsid w:val="001A29E7"/>
    <w:rsid w:val="001A2C5C"/>
    <w:rsid w:val="001A3353"/>
    <w:rsid w:val="001A362D"/>
    <w:rsid w:val="001A3F69"/>
    <w:rsid w:val="001A46CA"/>
    <w:rsid w:val="001A4992"/>
    <w:rsid w:val="001A51EB"/>
    <w:rsid w:val="001A551B"/>
    <w:rsid w:val="001A5DC9"/>
    <w:rsid w:val="001A5F47"/>
    <w:rsid w:val="001A727B"/>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4E6"/>
    <w:rsid w:val="001C0BC4"/>
    <w:rsid w:val="001C1A97"/>
    <w:rsid w:val="001C235F"/>
    <w:rsid w:val="001C2710"/>
    <w:rsid w:val="001C3D68"/>
    <w:rsid w:val="001C41EF"/>
    <w:rsid w:val="001C4D23"/>
    <w:rsid w:val="001C4F0D"/>
    <w:rsid w:val="001C56C5"/>
    <w:rsid w:val="001C59B3"/>
    <w:rsid w:val="001C5AE9"/>
    <w:rsid w:val="001C5D2D"/>
    <w:rsid w:val="001C626F"/>
    <w:rsid w:val="001C7268"/>
    <w:rsid w:val="001C78FC"/>
    <w:rsid w:val="001D096F"/>
    <w:rsid w:val="001D0DD1"/>
    <w:rsid w:val="001D155F"/>
    <w:rsid w:val="001D3507"/>
    <w:rsid w:val="001D363E"/>
    <w:rsid w:val="001D3CC4"/>
    <w:rsid w:val="001D5751"/>
    <w:rsid w:val="001D5C94"/>
    <w:rsid w:val="001D6C50"/>
    <w:rsid w:val="001D6CBF"/>
    <w:rsid w:val="001D6E2D"/>
    <w:rsid w:val="001D70E0"/>
    <w:rsid w:val="001D74FE"/>
    <w:rsid w:val="001E085D"/>
    <w:rsid w:val="001E1051"/>
    <w:rsid w:val="001E1187"/>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E7EA9"/>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2633"/>
    <w:rsid w:val="00203036"/>
    <w:rsid w:val="0020379F"/>
    <w:rsid w:val="00203A0A"/>
    <w:rsid w:val="00203BDA"/>
    <w:rsid w:val="00203C89"/>
    <w:rsid w:val="002043AC"/>
    <w:rsid w:val="0020540C"/>
    <w:rsid w:val="0020655B"/>
    <w:rsid w:val="0020677C"/>
    <w:rsid w:val="00206CB7"/>
    <w:rsid w:val="00207136"/>
    <w:rsid w:val="0020769D"/>
    <w:rsid w:val="002077D6"/>
    <w:rsid w:val="00207BDC"/>
    <w:rsid w:val="00207C49"/>
    <w:rsid w:val="00210CD7"/>
    <w:rsid w:val="002112DA"/>
    <w:rsid w:val="0021211A"/>
    <w:rsid w:val="00212651"/>
    <w:rsid w:val="0021268F"/>
    <w:rsid w:val="0021294F"/>
    <w:rsid w:val="00212B22"/>
    <w:rsid w:val="00212BAD"/>
    <w:rsid w:val="00212C47"/>
    <w:rsid w:val="002138FA"/>
    <w:rsid w:val="00213E13"/>
    <w:rsid w:val="002140A6"/>
    <w:rsid w:val="002146A8"/>
    <w:rsid w:val="00214C34"/>
    <w:rsid w:val="002151C8"/>
    <w:rsid w:val="002157BD"/>
    <w:rsid w:val="00216096"/>
    <w:rsid w:val="0021696C"/>
    <w:rsid w:val="0021767E"/>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865"/>
    <w:rsid w:val="00226BB0"/>
    <w:rsid w:val="002302DB"/>
    <w:rsid w:val="00230CF3"/>
    <w:rsid w:val="00230EF1"/>
    <w:rsid w:val="00231E3A"/>
    <w:rsid w:val="0023222B"/>
    <w:rsid w:val="0023247D"/>
    <w:rsid w:val="0023278F"/>
    <w:rsid w:val="00234085"/>
    <w:rsid w:val="002342DD"/>
    <w:rsid w:val="002344A0"/>
    <w:rsid w:val="00234B22"/>
    <w:rsid w:val="002352F4"/>
    <w:rsid w:val="00235544"/>
    <w:rsid w:val="00235763"/>
    <w:rsid w:val="00235FC0"/>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47A11"/>
    <w:rsid w:val="002503F2"/>
    <w:rsid w:val="002506CB"/>
    <w:rsid w:val="0025079C"/>
    <w:rsid w:val="00250A1E"/>
    <w:rsid w:val="00250E93"/>
    <w:rsid w:val="0025126E"/>
    <w:rsid w:val="0025177C"/>
    <w:rsid w:val="00251EA9"/>
    <w:rsid w:val="002521C5"/>
    <w:rsid w:val="002522BE"/>
    <w:rsid w:val="0025230A"/>
    <w:rsid w:val="0025337F"/>
    <w:rsid w:val="002534E6"/>
    <w:rsid w:val="0025351C"/>
    <w:rsid w:val="002547B2"/>
    <w:rsid w:val="00254C8E"/>
    <w:rsid w:val="002552C6"/>
    <w:rsid w:val="0025601F"/>
    <w:rsid w:val="0025613B"/>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4054"/>
    <w:rsid w:val="00274641"/>
    <w:rsid w:val="00274FDD"/>
    <w:rsid w:val="00275037"/>
    <w:rsid w:val="00275303"/>
    <w:rsid w:val="00275952"/>
    <w:rsid w:val="0027611A"/>
    <w:rsid w:val="0027628C"/>
    <w:rsid w:val="002763EA"/>
    <w:rsid w:val="0027662B"/>
    <w:rsid w:val="002766C7"/>
    <w:rsid w:val="00277D19"/>
    <w:rsid w:val="002802E9"/>
    <w:rsid w:val="002802F5"/>
    <w:rsid w:val="00280862"/>
    <w:rsid w:val="00280C3C"/>
    <w:rsid w:val="00281228"/>
    <w:rsid w:val="00281AF5"/>
    <w:rsid w:val="00281F30"/>
    <w:rsid w:val="00281FAD"/>
    <w:rsid w:val="00282534"/>
    <w:rsid w:val="00282907"/>
    <w:rsid w:val="00283D10"/>
    <w:rsid w:val="00284D1E"/>
    <w:rsid w:val="00285282"/>
    <w:rsid w:val="00285284"/>
    <w:rsid w:val="00286779"/>
    <w:rsid w:val="00286ABD"/>
    <w:rsid w:val="002871E0"/>
    <w:rsid w:val="00287506"/>
    <w:rsid w:val="00287682"/>
    <w:rsid w:val="0029022C"/>
    <w:rsid w:val="00290D5F"/>
    <w:rsid w:val="00290FFD"/>
    <w:rsid w:val="002911A8"/>
    <w:rsid w:val="002912F0"/>
    <w:rsid w:val="00291567"/>
    <w:rsid w:val="00291A1D"/>
    <w:rsid w:val="0029239F"/>
    <w:rsid w:val="00292B6D"/>
    <w:rsid w:val="00292C9D"/>
    <w:rsid w:val="002938A8"/>
    <w:rsid w:val="00293F4E"/>
    <w:rsid w:val="00295042"/>
    <w:rsid w:val="00295560"/>
    <w:rsid w:val="00296077"/>
    <w:rsid w:val="00297314"/>
    <w:rsid w:val="002974BF"/>
    <w:rsid w:val="00297D26"/>
    <w:rsid w:val="002A04D2"/>
    <w:rsid w:val="002A0E29"/>
    <w:rsid w:val="002A13CD"/>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6DD"/>
    <w:rsid w:val="002B2F28"/>
    <w:rsid w:val="002B370D"/>
    <w:rsid w:val="002B3BC2"/>
    <w:rsid w:val="002B4D65"/>
    <w:rsid w:val="002B55D6"/>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2E8D"/>
    <w:rsid w:val="002C362D"/>
    <w:rsid w:val="002C3953"/>
    <w:rsid w:val="002C3DC8"/>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3DCA"/>
    <w:rsid w:val="002D4520"/>
    <w:rsid w:val="002D4590"/>
    <w:rsid w:val="002D4C07"/>
    <w:rsid w:val="002D4D31"/>
    <w:rsid w:val="002D5195"/>
    <w:rsid w:val="002D6779"/>
    <w:rsid w:val="002D67F3"/>
    <w:rsid w:val="002D6BB6"/>
    <w:rsid w:val="002D7187"/>
    <w:rsid w:val="002D727A"/>
    <w:rsid w:val="002D72CC"/>
    <w:rsid w:val="002E093C"/>
    <w:rsid w:val="002E1B11"/>
    <w:rsid w:val="002E3C40"/>
    <w:rsid w:val="002E4D1F"/>
    <w:rsid w:val="002E508A"/>
    <w:rsid w:val="002E56EC"/>
    <w:rsid w:val="002E5874"/>
    <w:rsid w:val="002E5A80"/>
    <w:rsid w:val="002E5DDA"/>
    <w:rsid w:val="002E5DE9"/>
    <w:rsid w:val="002E6A02"/>
    <w:rsid w:val="002E6DCE"/>
    <w:rsid w:val="002E6F39"/>
    <w:rsid w:val="002E7578"/>
    <w:rsid w:val="002E76E2"/>
    <w:rsid w:val="002E78FC"/>
    <w:rsid w:val="002E79C0"/>
    <w:rsid w:val="002F052A"/>
    <w:rsid w:val="002F1DC3"/>
    <w:rsid w:val="002F214C"/>
    <w:rsid w:val="002F22CC"/>
    <w:rsid w:val="002F2981"/>
    <w:rsid w:val="002F31B5"/>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19F1"/>
    <w:rsid w:val="00302017"/>
    <w:rsid w:val="00302625"/>
    <w:rsid w:val="00303392"/>
    <w:rsid w:val="003039E6"/>
    <w:rsid w:val="00303C80"/>
    <w:rsid w:val="00304D2C"/>
    <w:rsid w:val="00304E2C"/>
    <w:rsid w:val="0030542F"/>
    <w:rsid w:val="00305899"/>
    <w:rsid w:val="00306521"/>
    <w:rsid w:val="0030680B"/>
    <w:rsid w:val="00306BAC"/>
    <w:rsid w:val="00306FB5"/>
    <w:rsid w:val="003076DA"/>
    <w:rsid w:val="00307C54"/>
    <w:rsid w:val="00307C82"/>
    <w:rsid w:val="0031039C"/>
    <w:rsid w:val="00310DCE"/>
    <w:rsid w:val="003113D3"/>
    <w:rsid w:val="0031142E"/>
    <w:rsid w:val="0031203F"/>
    <w:rsid w:val="00314056"/>
    <w:rsid w:val="00315119"/>
    <w:rsid w:val="003154CD"/>
    <w:rsid w:val="00315D43"/>
    <w:rsid w:val="003160D3"/>
    <w:rsid w:val="00316464"/>
    <w:rsid w:val="00316BBC"/>
    <w:rsid w:val="003172DF"/>
    <w:rsid w:val="003178FD"/>
    <w:rsid w:val="00317AF2"/>
    <w:rsid w:val="00317DEF"/>
    <w:rsid w:val="0032099E"/>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59D0"/>
    <w:rsid w:val="00335D9C"/>
    <w:rsid w:val="00335EEE"/>
    <w:rsid w:val="00335FD9"/>
    <w:rsid w:val="003362B2"/>
    <w:rsid w:val="003364B0"/>
    <w:rsid w:val="00336A20"/>
    <w:rsid w:val="0033752C"/>
    <w:rsid w:val="0033790D"/>
    <w:rsid w:val="0034028C"/>
    <w:rsid w:val="00340FDA"/>
    <w:rsid w:val="003417BB"/>
    <w:rsid w:val="0034291E"/>
    <w:rsid w:val="00342C19"/>
    <w:rsid w:val="00343224"/>
    <w:rsid w:val="00343DE9"/>
    <w:rsid w:val="00343F46"/>
    <w:rsid w:val="00344E46"/>
    <w:rsid w:val="00344ECB"/>
    <w:rsid w:val="00345288"/>
    <w:rsid w:val="00345B00"/>
    <w:rsid w:val="00345BFD"/>
    <w:rsid w:val="00345EBD"/>
    <w:rsid w:val="0034602B"/>
    <w:rsid w:val="003461B2"/>
    <w:rsid w:val="00346A25"/>
    <w:rsid w:val="00346C9B"/>
    <w:rsid w:val="00346CFA"/>
    <w:rsid w:val="00347253"/>
    <w:rsid w:val="0034764B"/>
    <w:rsid w:val="00347B40"/>
    <w:rsid w:val="00350A19"/>
    <w:rsid w:val="00350BB9"/>
    <w:rsid w:val="0035104A"/>
    <w:rsid w:val="00351265"/>
    <w:rsid w:val="0035183E"/>
    <w:rsid w:val="00351B3E"/>
    <w:rsid w:val="00351BC6"/>
    <w:rsid w:val="00351F56"/>
    <w:rsid w:val="00352C3E"/>
    <w:rsid w:val="00353048"/>
    <w:rsid w:val="00353176"/>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0DC"/>
    <w:rsid w:val="0036283C"/>
    <w:rsid w:val="00363552"/>
    <w:rsid w:val="00363A13"/>
    <w:rsid w:val="0036406C"/>
    <w:rsid w:val="0036418F"/>
    <w:rsid w:val="003647DD"/>
    <w:rsid w:val="00364B16"/>
    <w:rsid w:val="0036569E"/>
    <w:rsid w:val="00367AAC"/>
    <w:rsid w:val="00367E11"/>
    <w:rsid w:val="0037040B"/>
    <w:rsid w:val="00370D82"/>
    <w:rsid w:val="003727D1"/>
    <w:rsid w:val="00372BF3"/>
    <w:rsid w:val="003731FE"/>
    <w:rsid w:val="003735F6"/>
    <w:rsid w:val="0037397C"/>
    <w:rsid w:val="00373EFB"/>
    <w:rsid w:val="0037540A"/>
    <w:rsid w:val="0037711F"/>
    <w:rsid w:val="003771A5"/>
    <w:rsid w:val="003775B0"/>
    <w:rsid w:val="00377CDF"/>
    <w:rsid w:val="0038036E"/>
    <w:rsid w:val="00380F9F"/>
    <w:rsid w:val="003817C3"/>
    <w:rsid w:val="00382699"/>
    <w:rsid w:val="003829F3"/>
    <w:rsid w:val="003835FA"/>
    <w:rsid w:val="00384CFE"/>
    <w:rsid w:val="00386944"/>
    <w:rsid w:val="00386C50"/>
    <w:rsid w:val="00386D1C"/>
    <w:rsid w:val="00387031"/>
    <w:rsid w:val="003870EF"/>
    <w:rsid w:val="0038772F"/>
    <w:rsid w:val="003877CD"/>
    <w:rsid w:val="00390C9F"/>
    <w:rsid w:val="003919B8"/>
    <w:rsid w:val="00391D58"/>
    <w:rsid w:val="00392313"/>
    <w:rsid w:val="00392964"/>
    <w:rsid w:val="00393348"/>
    <w:rsid w:val="00393815"/>
    <w:rsid w:val="003940C5"/>
    <w:rsid w:val="0039511F"/>
    <w:rsid w:val="0039529D"/>
    <w:rsid w:val="00395308"/>
    <w:rsid w:val="00395898"/>
    <w:rsid w:val="003959CC"/>
    <w:rsid w:val="00395AD9"/>
    <w:rsid w:val="00395D00"/>
    <w:rsid w:val="00395EE4"/>
    <w:rsid w:val="00395F75"/>
    <w:rsid w:val="00396C26"/>
    <w:rsid w:val="0039790C"/>
    <w:rsid w:val="00397A79"/>
    <w:rsid w:val="003A0B7F"/>
    <w:rsid w:val="003A1BD2"/>
    <w:rsid w:val="003A1DA5"/>
    <w:rsid w:val="003A2B9E"/>
    <w:rsid w:val="003A375E"/>
    <w:rsid w:val="003A402D"/>
    <w:rsid w:val="003A5013"/>
    <w:rsid w:val="003A5188"/>
    <w:rsid w:val="003A571D"/>
    <w:rsid w:val="003A5AF4"/>
    <w:rsid w:val="003A64D1"/>
    <w:rsid w:val="003A7426"/>
    <w:rsid w:val="003A75D8"/>
    <w:rsid w:val="003A787B"/>
    <w:rsid w:val="003A7EBD"/>
    <w:rsid w:val="003B04F1"/>
    <w:rsid w:val="003B0679"/>
    <w:rsid w:val="003B0D14"/>
    <w:rsid w:val="003B10D8"/>
    <w:rsid w:val="003B1813"/>
    <w:rsid w:val="003B1D53"/>
    <w:rsid w:val="003B2F65"/>
    <w:rsid w:val="003B3977"/>
    <w:rsid w:val="003B40E0"/>
    <w:rsid w:val="003B5AD8"/>
    <w:rsid w:val="003B62CD"/>
    <w:rsid w:val="003B6572"/>
    <w:rsid w:val="003B6CEE"/>
    <w:rsid w:val="003B6D43"/>
    <w:rsid w:val="003B6D8C"/>
    <w:rsid w:val="003B6E69"/>
    <w:rsid w:val="003B76AB"/>
    <w:rsid w:val="003C0C68"/>
    <w:rsid w:val="003C0FE1"/>
    <w:rsid w:val="003C3196"/>
    <w:rsid w:val="003C3267"/>
    <w:rsid w:val="003C39CD"/>
    <w:rsid w:val="003C3D71"/>
    <w:rsid w:val="003C3F11"/>
    <w:rsid w:val="003C5004"/>
    <w:rsid w:val="003C5336"/>
    <w:rsid w:val="003C5494"/>
    <w:rsid w:val="003C570C"/>
    <w:rsid w:val="003C7ED7"/>
    <w:rsid w:val="003D0A0C"/>
    <w:rsid w:val="003D19EF"/>
    <w:rsid w:val="003D1DCA"/>
    <w:rsid w:val="003D2438"/>
    <w:rsid w:val="003D2926"/>
    <w:rsid w:val="003D3672"/>
    <w:rsid w:val="003D3B4F"/>
    <w:rsid w:val="003D45F8"/>
    <w:rsid w:val="003D485D"/>
    <w:rsid w:val="003D5B2D"/>
    <w:rsid w:val="003D6413"/>
    <w:rsid w:val="003D6671"/>
    <w:rsid w:val="003D6E9F"/>
    <w:rsid w:val="003D73DB"/>
    <w:rsid w:val="003D7850"/>
    <w:rsid w:val="003E0501"/>
    <w:rsid w:val="003E138E"/>
    <w:rsid w:val="003E1398"/>
    <w:rsid w:val="003E16A6"/>
    <w:rsid w:val="003E16E0"/>
    <w:rsid w:val="003E2551"/>
    <w:rsid w:val="003E2A6F"/>
    <w:rsid w:val="003E334A"/>
    <w:rsid w:val="003E41E1"/>
    <w:rsid w:val="003E466A"/>
    <w:rsid w:val="003E534C"/>
    <w:rsid w:val="003E5948"/>
    <w:rsid w:val="003E5A23"/>
    <w:rsid w:val="003E5D89"/>
    <w:rsid w:val="003E5FF7"/>
    <w:rsid w:val="003E63FD"/>
    <w:rsid w:val="003E6457"/>
    <w:rsid w:val="003E6676"/>
    <w:rsid w:val="003E70E3"/>
    <w:rsid w:val="003E79F0"/>
    <w:rsid w:val="003E7FF4"/>
    <w:rsid w:val="003F01D8"/>
    <w:rsid w:val="003F0C85"/>
    <w:rsid w:val="003F1327"/>
    <w:rsid w:val="003F1B04"/>
    <w:rsid w:val="003F1DB6"/>
    <w:rsid w:val="003F29E3"/>
    <w:rsid w:val="003F2BAF"/>
    <w:rsid w:val="003F2E35"/>
    <w:rsid w:val="003F3219"/>
    <w:rsid w:val="003F33E9"/>
    <w:rsid w:val="003F34A6"/>
    <w:rsid w:val="003F34A7"/>
    <w:rsid w:val="003F3801"/>
    <w:rsid w:val="003F38E7"/>
    <w:rsid w:val="003F3CD7"/>
    <w:rsid w:val="003F3F98"/>
    <w:rsid w:val="003F43E2"/>
    <w:rsid w:val="003F4ABD"/>
    <w:rsid w:val="003F56D4"/>
    <w:rsid w:val="003F5A2F"/>
    <w:rsid w:val="003F5B55"/>
    <w:rsid w:val="003F6C92"/>
    <w:rsid w:val="003F6ED2"/>
    <w:rsid w:val="003F7C3A"/>
    <w:rsid w:val="00400744"/>
    <w:rsid w:val="00400C31"/>
    <w:rsid w:val="00402B1D"/>
    <w:rsid w:val="00404D63"/>
    <w:rsid w:val="00405E3B"/>
    <w:rsid w:val="00406A66"/>
    <w:rsid w:val="00406C82"/>
    <w:rsid w:val="0040734D"/>
    <w:rsid w:val="004074AB"/>
    <w:rsid w:val="00407B38"/>
    <w:rsid w:val="0041126A"/>
    <w:rsid w:val="00411376"/>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0AC7"/>
    <w:rsid w:val="00421071"/>
    <w:rsid w:val="004213CE"/>
    <w:rsid w:val="00421F83"/>
    <w:rsid w:val="004223DF"/>
    <w:rsid w:val="00422A68"/>
    <w:rsid w:val="00422C86"/>
    <w:rsid w:val="00423437"/>
    <w:rsid w:val="00423D1D"/>
    <w:rsid w:val="004242F7"/>
    <w:rsid w:val="00424AB6"/>
    <w:rsid w:val="004256ED"/>
    <w:rsid w:val="00425BCC"/>
    <w:rsid w:val="00425BDB"/>
    <w:rsid w:val="00425DD1"/>
    <w:rsid w:val="00425E4D"/>
    <w:rsid w:val="004264CD"/>
    <w:rsid w:val="00426BEB"/>
    <w:rsid w:val="00426D64"/>
    <w:rsid w:val="00426D6C"/>
    <w:rsid w:val="0042745D"/>
    <w:rsid w:val="00427AEF"/>
    <w:rsid w:val="004300E5"/>
    <w:rsid w:val="004303C0"/>
    <w:rsid w:val="00430AA9"/>
    <w:rsid w:val="00430C98"/>
    <w:rsid w:val="004313F8"/>
    <w:rsid w:val="00431CAB"/>
    <w:rsid w:val="00431D36"/>
    <w:rsid w:val="00433186"/>
    <w:rsid w:val="00433E00"/>
    <w:rsid w:val="004348BC"/>
    <w:rsid w:val="004348BF"/>
    <w:rsid w:val="00435BF4"/>
    <w:rsid w:val="00435FBE"/>
    <w:rsid w:val="00436255"/>
    <w:rsid w:val="004366A8"/>
    <w:rsid w:val="004376F5"/>
    <w:rsid w:val="00437CE5"/>
    <w:rsid w:val="00437F16"/>
    <w:rsid w:val="004410CA"/>
    <w:rsid w:val="004413F4"/>
    <w:rsid w:val="004418F2"/>
    <w:rsid w:val="00441D12"/>
    <w:rsid w:val="00442400"/>
    <w:rsid w:val="00442C2B"/>
    <w:rsid w:val="00443446"/>
    <w:rsid w:val="00444035"/>
    <w:rsid w:val="0044435E"/>
    <w:rsid w:val="00444530"/>
    <w:rsid w:val="00444904"/>
    <w:rsid w:val="00444F2C"/>
    <w:rsid w:val="00445D40"/>
    <w:rsid w:val="004463B0"/>
    <w:rsid w:val="00446870"/>
    <w:rsid w:val="00450175"/>
    <w:rsid w:val="00450618"/>
    <w:rsid w:val="004507BE"/>
    <w:rsid w:val="004517C8"/>
    <w:rsid w:val="00452261"/>
    <w:rsid w:val="004522B2"/>
    <w:rsid w:val="0045235D"/>
    <w:rsid w:val="00452567"/>
    <w:rsid w:val="004527FA"/>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701D3"/>
    <w:rsid w:val="00470954"/>
    <w:rsid w:val="004709B8"/>
    <w:rsid w:val="00471059"/>
    <w:rsid w:val="0047237D"/>
    <w:rsid w:val="004724C4"/>
    <w:rsid w:val="00472DAA"/>
    <w:rsid w:val="00473B1A"/>
    <w:rsid w:val="00474346"/>
    <w:rsid w:val="00474956"/>
    <w:rsid w:val="00474D87"/>
    <w:rsid w:val="00475349"/>
    <w:rsid w:val="00475B73"/>
    <w:rsid w:val="004771D3"/>
    <w:rsid w:val="004776D9"/>
    <w:rsid w:val="004779CD"/>
    <w:rsid w:val="00480BFA"/>
    <w:rsid w:val="0048152B"/>
    <w:rsid w:val="0048184B"/>
    <w:rsid w:val="00482296"/>
    <w:rsid w:val="00482AA0"/>
    <w:rsid w:val="00483752"/>
    <w:rsid w:val="004837A8"/>
    <w:rsid w:val="00483CBD"/>
    <w:rsid w:val="00484197"/>
    <w:rsid w:val="00484F97"/>
    <w:rsid w:val="00485D34"/>
    <w:rsid w:val="00485F31"/>
    <w:rsid w:val="004866B4"/>
    <w:rsid w:val="00486923"/>
    <w:rsid w:val="004900BE"/>
    <w:rsid w:val="004907A8"/>
    <w:rsid w:val="00490991"/>
    <w:rsid w:val="00490C33"/>
    <w:rsid w:val="00490E27"/>
    <w:rsid w:val="00491267"/>
    <w:rsid w:val="004913E5"/>
    <w:rsid w:val="004915D5"/>
    <w:rsid w:val="00491ADE"/>
    <w:rsid w:val="00491D73"/>
    <w:rsid w:val="00491DCB"/>
    <w:rsid w:val="0049254B"/>
    <w:rsid w:val="00492649"/>
    <w:rsid w:val="004927F0"/>
    <w:rsid w:val="0049307B"/>
    <w:rsid w:val="00493624"/>
    <w:rsid w:val="00494422"/>
    <w:rsid w:val="004945E1"/>
    <w:rsid w:val="00494BFE"/>
    <w:rsid w:val="00494F8B"/>
    <w:rsid w:val="004952B2"/>
    <w:rsid w:val="00495976"/>
    <w:rsid w:val="00495F23"/>
    <w:rsid w:val="004962AD"/>
    <w:rsid w:val="00496313"/>
    <w:rsid w:val="004969B1"/>
    <w:rsid w:val="004969CE"/>
    <w:rsid w:val="0049759D"/>
    <w:rsid w:val="0049776D"/>
    <w:rsid w:val="004A048B"/>
    <w:rsid w:val="004A140F"/>
    <w:rsid w:val="004A150D"/>
    <w:rsid w:val="004A1629"/>
    <w:rsid w:val="004A2673"/>
    <w:rsid w:val="004A2A7C"/>
    <w:rsid w:val="004A2CA4"/>
    <w:rsid w:val="004A3809"/>
    <w:rsid w:val="004A3E5D"/>
    <w:rsid w:val="004A3FF5"/>
    <w:rsid w:val="004A4E75"/>
    <w:rsid w:val="004A5363"/>
    <w:rsid w:val="004A715D"/>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2033"/>
    <w:rsid w:val="004C2833"/>
    <w:rsid w:val="004C286E"/>
    <w:rsid w:val="004C2FD1"/>
    <w:rsid w:val="004C31F3"/>
    <w:rsid w:val="004C32EB"/>
    <w:rsid w:val="004C40CC"/>
    <w:rsid w:val="004C4EA2"/>
    <w:rsid w:val="004C55A1"/>
    <w:rsid w:val="004C59C0"/>
    <w:rsid w:val="004C6243"/>
    <w:rsid w:val="004C69F7"/>
    <w:rsid w:val="004C6D16"/>
    <w:rsid w:val="004D10F7"/>
    <w:rsid w:val="004D1D7A"/>
    <w:rsid w:val="004D1DB0"/>
    <w:rsid w:val="004D23F8"/>
    <w:rsid w:val="004D282B"/>
    <w:rsid w:val="004D2D69"/>
    <w:rsid w:val="004D3339"/>
    <w:rsid w:val="004D4077"/>
    <w:rsid w:val="004D4207"/>
    <w:rsid w:val="004D4516"/>
    <w:rsid w:val="004D4B1A"/>
    <w:rsid w:val="004D51FE"/>
    <w:rsid w:val="004D581D"/>
    <w:rsid w:val="004D6300"/>
    <w:rsid w:val="004D6787"/>
    <w:rsid w:val="004D6EFD"/>
    <w:rsid w:val="004D76B4"/>
    <w:rsid w:val="004D7896"/>
    <w:rsid w:val="004E0024"/>
    <w:rsid w:val="004E0261"/>
    <w:rsid w:val="004E0FBE"/>
    <w:rsid w:val="004E0FF1"/>
    <w:rsid w:val="004E2306"/>
    <w:rsid w:val="004E2BDF"/>
    <w:rsid w:val="004E3753"/>
    <w:rsid w:val="004E3AED"/>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15C"/>
    <w:rsid w:val="004F4199"/>
    <w:rsid w:val="004F45ED"/>
    <w:rsid w:val="004F592B"/>
    <w:rsid w:val="004F6759"/>
    <w:rsid w:val="004F7427"/>
    <w:rsid w:val="004F753A"/>
    <w:rsid w:val="004F7E8E"/>
    <w:rsid w:val="0050038D"/>
    <w:rsid w:val="00500E0A"/>
    <w:rsid w:val="0050224D"/>
    <w:rsid w:val="00502B94"/>
    <w:rsid w:val="005030D4"/>
    <w:rsid w:val="00503AE2"/>
    <w:rsid w:val="00503D93"/>
    <w:rsid w:val="00504571"/>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18C"/>
    <w:rsid w:val="00515771"/>
    <w:rsid w:val="00515AE4"/>
    <w:rsid w:val="005160CF"/>
    <w:rsid w:val="0051645C"/>
    <w:rsid w:val="00517FD2"/>
    <w:rsid w:val="00520634"/>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0BBF"/>
    <w:rsid w:val="005317D0"/>
    <w:rsid w:val="00531A76"/>
    <w:rsid w:val="00532050"/>
    <w:rsid w:val="00532100"/>
    <w:rsid w:val="0053237C"/>
    <w:rsid w:val="0053273F"/>
    <w:rsid w:val="00532882"/>
    <w:rsid w:val="005337A7"/>
    <w:rsid w:val="00533C6B"/>
    <w:rsid w:val="005342F5"/>
    <w:rsid w:val="0053546D"/>
    <w:rsid w:val="00535AC2"/>
    <w:rsid w:val="00536B5C"/>
    <w:rsid w:val="00536ED9"/>
    <w:rsid w:val="00537131"/>
    <w:rsid w:val="00537A86"/>
    <w:rsid w:val="00537D44"/>
    <w:rsid w:val="005402E2"/>
    <w:rsid w:val="0054083E"/>
    <w:rsid w:val="00540C91"/>
    <w:rsid w:val="00540EDF"/>
    <w:rsid w:val="00542408"/>
    <w:rsid w:val="0054288C"/>
    <w:rsid w:val="00543212"/>
    <w:rsid w:val="0054367B"/>
    <w:rsid w:val="00543809"/>
    <w:rsid w:val="00543C53"/>
    <w:rsid w:val="005442BF"/>
    <w:rsid w:val="00544F2D"/>
    <w:rsid w:val="00545EC5"/>
    <w:rsid w:val="005471BF"/>
    <w:rsid w:val="00550DDE"/>
    <w:rsid w:val="00550E03"/>
    <w:rsid w:val="00551190"/>
    <w:rsid w:val="00551B76"/>
    <w:rsid w:val="005525BB"/>
    <w:rsid w:val="00552778"/>
    <w:rsid w:val="00552D8C"/>
    <w:rsid w:val="00552ED1"/>
    <w:rsid w:val="005537EC"/>
    <w:rsid w:val="00553B8A"/>
    <w:rsid w:val="0055477E"/>
    <w:rsid w:val="00554C08"/>
    <w:rsid w:val="0055542E"/>
    <w:rsid w:val="0055594B"/>
    <w:rsid w:val="00555AAD"/>
    <w:rsid w:val="005561B1"/>
    <w:rsid w:val="00556E77"/>
    <w:rsid w:val="00556FD9"/>
    <w:rsid w:val="00557B1A"/>
    <w:rsid w:val="00560043"/>
    <w:rsid w:val="0056088B"/>
    <w:rsid w:val="0056110C"/>
    <w:rsid w:val="005611BD"/>
    <w:rsid w:val="0056138E"/>
    <w:rsid w:val="005621D8"/>
    <w:rsid w:val="0056254F"/>
    <w:rsid w:val="0056487E"/>
    <w:rsid w:val="00564A33"/>
    <w:rsid w:val="00566422"/>
    <w:rsid w:val="00566D6D"/>
    <w:rsid w:val="00567BA3"/>
    <w:rsid w:val="005704F4"/>
    <w:rsid w:val="005712F8"/>
    <w:rsid w:val="0057209C"/>
    <w:rsid w:val="005726A3"/>
    <w:rsid w:val="00572AA3"/>
    <w:rsid w:val="005736E0"/>
    <w:rsid w:val="00574007"/>
    <w:rsid w:val="005743E4"/>
    <w:rsid w:val="0057465B"/>
    <w:rsid w:val="0057500D"/>
    <w:rsid w:val="00575674"/>
    <w:rsid w:val="005766EC"/>
    <w:rsid w:val="005767D9"/>
    <w:rsid w:val="00576CB8"/>
    <w:rsid w:val="00577146"/>
    <w:rsid w:val="005773A0"/>
    <w:rsid w:val="005800F8"/>
    <w:rsid w:val="005801AA"/>
    <w:rsid w:val="00580A07"/>
    <w:rsid w:val="00580FAE"/>
    <w:rsid w:val="0058156A"/>
    <w:rsid w:val="00581ABB"/>
    <w:rsid w:val="00581E0B"/>
    <w:rsid w:val="00582002"/>
    <w:rsid w:val="00583C58"/>
    <w:rsid w:val="00584050"/>
    <w:rsid w:val="005844DC"/>
    <w:rsid w:val="005845E5"/>
    <w:rsid w:val="00584CF3"/>
    <w:rsid w:val="0058501F"/>
    <w:rsid w:val="00585525"/>
    <w:rsid w:val="00585538"/>
    <w:rsid w:val="0058570E"/>
    <w:rsid w:val="005860CF"/>
    <w:rsid w:val="005861E2"/>
    <w:rsid w:val="00586D72"/>
    <w:rsid w:val="0059009D"/>
    <w:rsid w:val="005905CA"/>
    <w:rsid w:val="00590E36"/>
    <w:rsid w:val="00590F71"/>
    <w:rsid w:val="00592518"/>
    <w:rsid w:val="00592632"/>
    <w:rsid w:val="00592C89"/>
    <w:rsid w:val="005933B5"/>
    <w:rsid w:val="00593540"/>
    <w:rsid w:val="00593DCE"/>
    <w:rsid w:val="00594A39"/>
    <w:rsid w:val="00595F55"/>
    <w:rsid w:val="0059606D"/>
    <w:rsid w:val="00596DF4"/>
    <w:rsid w:val="00597305"/>
    <w:rsid w:val="00597ED0"/>
    <w:rsid w:val="005A004D"/>
    <w:rsid w:val="005A05D5"/>
    <w:rsid w:val="005A0825"/>
    <w:rsid w:val="005A12E0"/>
    <w:rsid w:val="005A17B8"/>
    <w:rsid w:val="005A1C35"/>
    <w:rsid w:val="005A239F"/>
    <w:rsid w:val="005A27F0"/>
    <w:rsid w:val="005A34F5"/>
    <w:rsid w:val="005A3C75"/>
    <w:rsid w:val="005A452B"/>
    <w:rsid w:val="005A606D"/>
    <w:rsid w:val="005A6F0C"/>
    <w:rsid w:val="005A719F"/>
    <w:rsid w:val="005A7424"/>
    <w:rsid w:val="005A77B0"/>
    <w:rsid w:val="005A7F14"/>
    <w:rsid w:val="005B0534"/>
    <w:rsid w:val="005B0739"/>
    <w:rsid w:val="005B18D8"/>
    <w:rsid w:val="005B1B7A"/>
    <w:rsid w:val="005B1E1C"/>
    <w:rsid w:val="005B2853"/>
    <w:rsid w:val="005B2A0E"/>
    <w:rsid w:val="005B32B6"/>
    <w:rsid w:val="005B3E37"/>
    <w:rsid w:val="005B64CC"/>
    <w:rsid w:val="005B66AB"/>
    <w:rsid w:val="005B6BC6"/>
    <w:rsid w:val="005B6C5A"/>
    <w:rsid w:val="005B6F74"/>
    <w:rsid w:val="005B77F0"/>
    <w:rsid w:val="005B787B"/>
    <w:rsid w:val="005C10C3"/>
    <w:rsid w:val="005C14E3"/>
    <w:rsid w:val="005C176B"/>
    <w:rsid w:val="005C1F21"/>
    <w:rsid w:val="005C3B25"/>
    <w:rsid w:val="005C40F6"/>
    <w:rsid w:val="005C41EA"/>
    <w:rsid w:val="005C44C7"/>
    <w:rsid w:val="005C452D"/>
    <w:rsid w:val="005C5858"/>
    <w:rsid w:val="005C5ACE"/>
    <w:rsid w:val="005C652A"/>
    <w:rsid w:val="005C68E9"/>
    <w:rsid w:val="005C6BF8"/>
    <w:rsid w:val="005C6C10"/>
    <w:rsid w:val="005C6F4B"/>
    <w:rsid w:val="005C70E2"/>
    <w:rsid w:val="005C7950"/>
    <w:rsid w:val="005C7953"/>
    <w:rsid w:val="005C7BCD"/>
    <w:rsid w:val="005D04F5"/>
    <w:rsid w:val="005D0D1A"/>
    <w:rsid w:val="005D0F2E"/>
    <w:rsid w:val="005D13A0"/>
    <w:rsid w:val="005D1D16"/>
    <w:rsid w:val="005D26B8"/>
    <w:rsid w:val="005D3067"/>
    <w:rsid w:val="005D4D97"/>
    <w:rsid w:val="005D50F4"/>
    <w:rsid w:val="005D588C"/>
    <w:rsid w:val="005D64D0"/>
    <w:rsid w:val="005D65C0"/>
    <w:rsid w:val="005D6C41"/>
    <w:rsid w:val="005D6D0D"/>
    <w:rsid w:val="005D6DBE"/>
    <w:rsid w:val="005D7695"/>
    <w:rsid w:val="005D772C"/>
    <w:rsid w:val="005E0719"/>
    <w:rsid w:val="005E146D"/>
    <w:rsid w:val="005E2C9D"/>
    <w:rsid w:val="005E2FB4"/>
    <w:rsid w:val="005E4593"/>
    <w:rsid w:val="005E555E"/>
    <w:rsid w:val="005E6392"/>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1D3D"/>
    <w:rsid w:val="0060261A"/>
    <w:rsid w:val="006032E4"/>
    <w:rsid w:val="00603932"/>
    <w:rsid w:val="00603BC9"/>
    <w:rsid w:val="00604377"/>
    <w:rsid w:val="00604BE2"/>
    <w:rsid w:val="006054AD"/>
    <w:rsid w:val="006064E4"/>
    <w:rsid w:val="006066BB"/>
    <w:rsid w:val="00606B38"/>
    <w:rsid w:val="00606EA2"/>
    <w:rsid w:val="006070F7"/>
    <w:rsid w:val="006075E7"/>
    <w:rsid w:val="00610C1F"/>
    <w:rsid w:val="0061129B"/>
    <w:rsid w:val="006112D0"/>
    <w:rsid w:val="006122D7"/>
    <w:rsid w:val="006123CD"/>
    <w:rsid w:val="00612E37"/>
    <w:rsid w:val="00613334"/>
    <w:rsid w:val="0061335D"/>
    <w:rsid w:val="006135BF"/>
    <w:rsid w:val="00614076"/>
    <w:rsid w:val="00614D4E"/>
    <w:rsid w:val="00615330"/>
    <w:rsid w:val="006157AC"/>
    <w:rsid w:val="00615CF4"/>
    <w:rsid w:val="00616053"/>
    <w:rsid w:val="006179A5"/>
    <w:rsid w:val="006201F3"/>
    <w:rsid w:val="00620A2B"/>
    <w:rsid w:val="00620B76"/>
    <w:rsid w:val="00620EA7"/>
    <w:rsid w:val="006224BC"/>
    <w:rsid w:val="00622EFE"/>
    <w:rsid w:val="006234BC"/>
    <w:rsid w:val="00623670"/>
    <w:rsid w:val="006245F0"/>
    <w:rsid w:val="00624D92"/>
    <w:rsid w:val="00624E2A"/>
    <w:rsid w:val="006256B8"/>
    <w:rsid w:val="00625ECE"/>
    <w:rsid w:val="00626712"/>
    <w:rsid w:val="0062719D"/>
    <w:rsid w:val="00630372"/>
    <w:rsid w:val="00630D32"/>
    <w:rsid w:val="0063104F"/>
    <w:rsid w:val="00631DD1"/>
    <w:rsid w:val="00632D00"/>
    <w:rsid w:val="00633361"/>
    <w:rsid w:val="00633A50"/>
    <w:rsid w:val="00633C1C"/>
    <w:rsid w:val="00633D1D"/>
    <w:rsid w:val="00633FE5"/>
    <w:rsid w:val="0063479F"/>
    <w:rsid w:val="00635602"/>
    <w:rsid w:val="00635BA7"/>
    <w:rsid w:val="00636495"/>
    <w:rsid w:val="006374BD"/>
    <w:rsid w:val="00637F9A"/>
    <w:rsid w:val="00640177"/>
    <w:rsid w:val="00641828"/>
    <w:rsid w:val="00641CA2"/>
    <w:rsid w:val="00641D5E"/>
    <w:rsid w:val="00642285"/>
    <w:rsid w:val="00643768"/>
    <w:rsid w:val="00643826"/>
    <w:rsid w:val="00643A26"/>
    <w:rsid w:val="00643A31"/>
    <w:rsid w:val="006441DD"/>
    <w:rsid w:val="00644FD3"/>
    <w:rsid w:val="00646822"/>
    <w:rsid w:val="00646E35"/>
    <w:rsid w:val="00647485"/>
    <w:rsid w:val="006501F3"/>
    <w:rsid w:val="00650280"/>
    <w:rsid w:val="00650A2C"/>
    <w:rsid w:val="00651696"/>
    <w:rsid w:val="00651C67"/>
    <w:rsid w:val="006524B0"/>
    <w:rsid w:val="006533DC"/>
    <w:rsid w:val="00653561"/>
    <w:rsid w:val="00653578"/>
    <w:rsid w:val="0065361F"/>
    <w:rsid w:val="006538DD"/>
    <w:rsid w:val="006539E6"/>
    <w:rsid w:val="00653DB6"/>
    <w:rsid w:val="00654111"/>
    <w:rsid w:val="0065498F"/>
    <w:rsid w:val="00654D45"/>
    <w:rsid w:val="0065508A"/>
    <w:rsid w:val="006567DB"/>
    <w:rsid w:val="006569D4"/>
    <w:rsid w:val="00656BC3"/>
    <w:rsid w:val="006573F8"/>
    <w:rsid w:val="00657B45"/>
    <w:rsid w:val="006609EC"/>
    <w:rsid w:val="00660B3B"/>
    <w:rsid w:val="00660BC0"/>
    <w:rsid w:val="006611C8"/>
    <w:rsid w:val="006624A8"/>
    <w:rsid w:val="006635E6"/>
    <w:rsid w:val="00663BE1"/>
    <w:rsid w:val="00663C11"/>
    <w:rsid w:val="00663CA8"/>
    <w:rsid w:val="006651EE"/>
    <w:rsid w:val="00665957"/>
    <w:rsid w:val="006668C2"/>
    <w:rsid w:val="00666946"/>
    <w:rsid w:val="006673D9"/>
    <w:rsid w:val="00670428"/>
    <w:rsid w:val="006709B2"/>
    <w:rsid w:val="00670B22"/>
    <w:rsid w:val="006715E2"/>
    <w:rsid w:val="006719AB"/>
    <w:rsid w:val="00671E25"/>
    <w:rsid w:val="00672002"/>
    <w:rsid w:val="00672322"/>
    <w:rsid w:val="00672CFA"/>
    <w:rsid w:val="006734B8"/>
    <w:rsid w:val="00673501"/>
    <w:rsid w:val="00674026"/>
    <w:rsid w:val="00675144"/>
    <w:rsid w:val="00676749"/>
    <w:rsid w:val="00676A9A"/>
    <w:rsid w:val="0067789B"/>
    <w:rsid w:val="00677B0F"/>
    <w:rsid w:val="006805A8"/>
    <w:rsid w:val="00680DFF"/>
    <w:rsid w:val="006811BB"/>
    <w:rsid w:val="00681465"/>
    <w:rsid w:val="00681DE5"/>
    <w:rsid w:val="00681FF2"/>
    <w:rsid w:val="00682470"/>
    <w:rsid w:val="00683092"/>
    <w:rsid w:val="0068312C"/>
    <w:rsid w:val="00683272"/>
    <w:rsid w:val="0068333D"/>
    <w:rsid w:val="0068347F"/>
    <w:rsid w:val="006834B8"/>
    <w:rsid w:val="006843CB"/>
    <w:rsid w:val="006846B1"/>
    <w:rsid w:val="00684C05"/>
    <w:rsid w:val="00684F60"/>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4DD8"/>
    <w:rsid w:val="006A55E6"/>
    <w:rsid w:val="006A597F"/>
    <w:rsid w:val="006A6319"/>
    <w:rsid w:val="006A655C"/>
    <w:rsid w:val="006A6560"/>
    <w:rsid w:val="006A66EC"/>
    <w:rsid w:val="006A6956"/>
    <w:rsid w:val="006A6B5E"/>
    <w:rsid w:val="006A7321"/>
    <w:rsid w:val="006A7784"/>
    <w:rsid w:val="006A796A"/>
    <w:rsid w:val="006A7994"/>
    <w:rsid w:val="006A7CC3"/>
    <w:rsid w:val="006A7DCD"/>
    <w:rsid w:val="006B055E"/>
    <w:rsid w:val="006B0B90"/>
    <w:rsid w:val="006B0C14"/>
    <w:rsid w:val="006B1695"/>
    <w:rsid w:val="006B18FC"/>
    <w:rsid w:val="006B2B1E"/>
    <w:rsid w:val="006B2BD9"/>
    <w:rsid w:val="006B3234"/>
    <w:rsid w:val="006B3253"/>
    <w:rsid w:val="006B3B57"/>
    <w:rsid w:val="006B3DE3"/>
    <w:rsid w:val="006B40AA"/>
    <w:rsid w:val="006B417E"/>
    <w:rsid w:val="006B4A0C"/>
    <w:rsid w:val="006B4A53"/>
    <w:rsid w:val="006B51ED"/>
    <w:rsid w:val="006B5532"/>
    <w:rsid w:val="006B5964"/>
    <w:rsid w:val="006B6589"/>
    <w:rsid w:val="006B65E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703C"/>
    <w:rsid w:val="006C7F83"/>
    <w:rsid w:val="006D0188"/>
    <w:rsid w:val="006D19AF"/>
    <w:rsid w:val="006D1C39"/>
    <w:rsid w:val="006D1E35"/>
    <w:rsid w:val="006D2321"/>
    <w:rsid w:val="006D2491"/>
    <w:rsid w:val="006D2777"/>
    <w:rsid w:val="006D2B86"/>
    <w:rsid w:val="006D335B"/>
    <w:rsid w:val="006D38C5"/>
    <w:rsid w:val="006D3F39"/>
    <w:rsid w:val="006D42CD"/>
    <w:rsid w:val="006D452D"/>
    <w:rsid w:val="006D4781"/>
    <w:rsid w:val="006D5711"/>
    <w:rsid w:val="006D5890"/>
    <w:rsid w:val="006D6782"/>
    <w:rsid w:val="006D7963"/>
    <w:rsid w:val="006D79DA"/>
    <w:rsid w:val="006D7C23"/>
    <w:rsid w:val="006E08F8"/>
    <w:rsid w:val="006E0951"/>
    <w:rsid w:val="006E151D"/>
    <w:rsid w:val="006E15EA"/>
    <w:rsid w:val="006E19CD"/>
    <w:rsid w:val="006E24AF"/>
    <w:rsid w:val="006E328A"/>
    <w:rsid w:val="006E3530"/>
    <w:rsid w:val="006E411F"/>
    <w:rsid w:val="006E4CD8"/>
    <w:rsid w:val="006E5339"/>
    <w:rsid w:val="006E58AB"/>
    <w:rsid w:val="006E59AF"/>
    <w:rsid w:val="006E694C"/>
    <w:rsid w:val="006E6CDE"/>
    <w:rsid w:val="006E7282"/>
    <w:rsid w:val="006E72A9"/>
    <w:rsid w:val="006E7FE2"/>
    <w:rsid w:val="006F0287"/>
    <w:rsid w:val="006F11AA"/>
    <w:rsid w:val="006F14EA"/>
    <w:rsid w:val="006F1DFC"/>
    <w:rsid w:val="006F1E59"/>
    <w:rsid w:val="006F26DD"/>
    <w:rsid w:val="006F3443"/>
    <w:rsid w:val="006F3E94"/>
    <w:rsid w:val="006F42A6"/>
    <w:rsid w:val="006F54ED"/>
    <w:rsid w:val="006F5E0B"/>
    <w:rsid w:val="006F7098"/>
    <w:rsid w:val="006F70A0"/>
    <w:rsid w:val="006F7382"/>
    <w:rsid w:val="006F79BF"/>
    <w:rsid w:val="007010F1"/>
    <w:rsid w:val="00701174"/>
    <w:rsid w:val="00701A1E"/>
    <w:rsid w:val="007022B6"/>
    <w:rsid w:val="00702BBF"/>
    <w:rsid w:val="00702EF2"/>
    <w:rsid w:val="00702F01"/>
    <w:rsid w:val="00703A0F"/>
    <w:rsid w:val="00704F49"/>
    <w:rsid w:val="00704FAF"/>
    <w:rsid w:val="00705211"/>
    <w:rsid w:val="00706875"/>
    <w:rsid w:val="00706AA0"/>
    <w:rsid w:val="00706BAA"/>
    <w:rsid w:val="0071023B"/>
    <w:rsid w:val="00710512"/>
    <w:rsid w:val="00711060"/>
    <w:rsid w:val="007110C9"/>
    <w:rsid w:val="007118B9"/>
    <w:rsid w:val="0071266C"/>
    <w:rsid w:val="00713D36"/>
    <w:rsid w:val="00715965"/>
    <w:rsid w:val="007159A6"/>
    <w:rsid w:val="0071761A"/>
    <w:rsid w:val="00717988"/>
    <w:rsid w:val="00720A36"/>
    <w:rsid w:val="00721024"/>
    <w:rsid w:val="0072150D"/>
    <w:rsid w:val="00721C69"/>
    <w:rsid w:val="00722C37"/>
    <w:rsid w:val="00723E3D"/>
    <w:rsid w:val="00724A52"/>
    <w:rsid w:val="007251BE"/>
    <w:rsid w:val="00725667"/>
    <w:rsid w:val="00726066"/>
    <w:rsid w:val="00726807"/>
    <w:rsid w:val="00726C63"/>
    <w:rsid w:val="007271E1"/>
    <w:rsid w:val="007302DA"/>
    <w:rsid w:val="007306F6"/>
    <w:rsid w:val="00730A00"/>
    <w:rsid w:val="00730CDA"/>
    <w:rsid w:val="00731A60"/>
    <w:rsid w:val="00731AF9"/>
    <w:rsid w:val="00731DA9"/>
    <w:rsid w:val="00731FA7"/>
    <w:rsid w:val="007339AE"/>
    <w:rsid w:val="00733B12"/>
    <w:rsid w:val="007343A6"/>
    <w:rsid w:val="00734B6D"/>
    <w:rsid w:val="00734DD2"/>
    <w:rsid w:val="00735A01"/>
    <w:rsid w:val="00735D49"/>
    <w:rsid w:val="0073604F"/>
    <w:rsid w:val="0073626D"/>
    <w:rsid w:val="00736445"/>
    <w:rsid w:val="00736738"/>
    <w:rsid w:val="00736884"/>
    <w:rsid w:val="00736A84"/>
    <w:rsid w:val="007373F0"/>
    <w:rsid w:val="007374AC"/>
    <w:rsid w:val="00737CB1"/>
    <w:rsid w:val="007407AF"/>
    <w:rsid w:val="0074192E"/>
    <w:rsid w:val="00741BC5"/>
    <w:rsid w:val="00741F43"/>
    <w:rsid w:val="00742095"/>
    <w:rsid w:val="00742462"/>
    <w:rsid w:val="00742B3F"/>
    <w:rsid w:val="00742FC5"/>
    <w:rsid w:val="00743487"/>
    <w:rsid w:val="00744372"/>
    <w:rsid w:val="007452F4"/>
    <w:rsid w:val="007460CF"/>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46A1"/>
    <w:rsid w:val="007546A5"/>
    <w:rsid w:val="0075512B"/>
    <w:rsid w:val="00755381"/>
    <w:rsid w:val="00755D9F"/>
    <w:rsid w:val="00756313"/>
    <w:rsid w:val="00756513"/>
    <w:rsid w:val="00756EFE"/>
    <w:rsid w:val="0076017C"/>
    <w:rsid w:val="00761B57"/>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0FA2"/>
    <w:rsid w:val="00771162"/>
    <w:rsid w:val="0077130D"/>
    <w:rsid w:val="007727B5"/>
    <w:rsid w:val="007734CD"/>
    <w:rsid w:val="00773773"/>
    <w:rsid w:val="00773807"/>
    <w:rsid w:val="00774593"/>
    <w:rsid w:val="00775395"/>
    <w:rsid w:val="00776269"/>
    <w:rsid w:val="00776CF8"/>
    <w:rsid w:val="00776D50"/>
    <w:rsid w:val="007776DF"/>
    <w:rsid w:val="00777C3C"/>
    <w:rsid w:val="00780792"/>
    <w:rsid w:val="00780B49"/>
    <w:rsid w:val="00780DC4"/>
    <w:rsid w:val="00780E00"/>
    <w:rsid w:val="00781016"/>
    <w:rsid w:val="0078109D"/>
    <w:rsid w:val="007818F8"/>
    <w:rsid w:val="007825AD"/>
    <w:rsid w:val="007828DD"/>
    <w:rsid w:val="00782E4E"/>
    <w:rsid w:val="00783086"/>
    <w:rsid w:val="0078368A"/>
    <w:rsid w:val="007839B8"/>
    <w:rsid w:val="00783AC2"/>
    <w:rsid w:val="00784361"/>
    <w:rsid w:val="00784463"/>
    <w:rsid w:val="00784790"/>
    <w:rsid w:val="007878D3"/>
    <w:rsid w:val="0079036A"/>
    <w:rsid w:val="0079038F"/>
    <w:rsid w:val="00790A12"/>
    <w:rsid w:val="00790B19"/>
    <w:rsid w:val="00790BE7"/>
    <w:rsid w:val="00790F90"/>
    <w:rsid w:val="00791879"/>
    <w:rsid w:val="007939DA"/>
    <w:rsid w:val="0079416C"/>
    <w:rsid w:val="007942DD"/>
    <w:rsid w:val="00794598"/>
    <w:rsid w:val="00796F2E"/>
    <w:rsid w:val="00797502"/>
    <w:rsid w:val="00797722"/>
    <w:rsid w:val="00797C04"/>
    <w:rsid w:val="00797DA2"/>
    <w:rsid w:val="007A034E"/>
    <w:rsid w:val="007A0DF6"/>
    <w:rsid w:val="007A12AD"/>
    <w:rsid w:val="007A12FE"/>
    <w:rsid w:val="007A2F9F"/>
    <w:rsid w:val="007A308B"/>
    <w:rsid w:val="007A4558"/>
    <w:rsid w:val="007A4CA0"/>
    <w:rsid w:val="007A4FF6"/>
    <w:rsid w:val="007A5341"/>
    <w:rsid w:val="007A57ED"/>
    <w:rsid w:val="007A58E5"/>
    <w:rsid w:val="007A5C72"/>
    <w:rsid w:val="007A5E6E"/>
    <w:rsid w:val="007A5FE6"/>
    <w:rsid w:val="007A67C3"/>
    <w:rsid w:val="007A7EFF"/>
    <w:rsid w:val="007B0A6E"/>
    <w:rsid w:val="007B10EE"/>
    <w:rsid w:val="007B118D"/>
    <w:rsid w:val="007B11DA"/>
    <w:rsid w:val="007B173E"/>
    <w:rsid w:val="007B1C8B"/>
    <w:rsid w:val="007B1C98"/>
    <w:rsid w:val="007B2DCF"/>
    <w:rsid w:val="007B2F77"/>
    <w:rsid w:val="007B3E80"/>
    <w:rsid w:val="007B5407"/>
    <w:rsid w:val="007B5F4A"/>
    <w:rsid w:val="007B6146"/>
    <w:rsid w:val="007B62EE"/>
    <w:rsid w:val="007B6606"/>
    <w:rsid w:val="007B6BAB"/>
    <w:rsid w:val="007B6C07"/>
    <w:rsid w:val="007B744E"/>
    <w:rsid w:val="007B7C30"/>
    <w:rsid w:val="007B7FFD"/>
    <w:rsid w:val="007C0B17"/>
    <w:rsid w:val="007C0ECD"/>
    <w:rsid w:val="007C13FC"/>
    <w:rsid w:val="007C1A49"/>
    <w:rsid w:val="007C207E"/>
    <w:rsid w:val="007C2860"/>
    <w:rsid w:val="007C2BC3"/>
    <w:rsid w:val="007C2E62"/>
    <w:rsid w:val="007C3671"/>
    <w:rsid w:val="007C3FCB"/>
    <w:rsid w:val="007C49F6"/>
    <w:rsid w:val="007C61A0"/>
    <w:rsid w:val="007C6284"/>
    <w:rsid w:val="007C6608"/>
    <w:rsid w:val="007C785C"/>
    <w:rsid w:val="007D01D7"/>
    <w:rsid w:val="007D0B67"/>
    <w:rsid w:val="007D0C32"/>
    <w:rsid w:val="007D1356"/>
    <w:rsid w:val="007D136E"/>
    <w:rsid w:val="007D1462"/>
    <w:rsid w:val="007D1C1E"/>
    <w:rsid w:val="007D4739"/>
    <w:rsid w:val="007D49DA"/>
    <w:rsid w:val="007D4BA0"/>
    <w:rsid w:val="007D501C"/>
    <w:rsid w:val="007D63C3"/>
    <w:rsid w:val="007D640D"/>
    <w:rsid w:val="007D66F3"/>
    <w:rsid w:val="007D69A5"/>
    <w:rsid w:val="007D6A59"/>
    <w:rsid w:val="007D712C"/>
    <w:rsid w:val="007E0139"/>
    <w:rsid w:val="007E01C0"/>
    <w:rsid w:val="007E0290"/>
    <w:rsid w:val="007E0EEC"/>
    <w:rsid w:val="007E16C8"/>
    <w:rsid w:val="007E1A5B"/>
    <w:rsid w:val="007E1BD8"/>
    <w:rsid w:val="007E22BF"/>
    <w:rsid w:val="007E24C9"/>
    <w:rsid w:val="007E27A5"/>
    <w:rsid w:val="007E3A95"/>
    <w:rsid w:val="007E3BCD"/>
    <w:rsid w:val="007E3FB4"/>
    <w:rsid w:val="007E4C21"/>
    <w:rsid w:val="007E746D"/>
    <w:rsid w:val="007E7AA1"/>
    <w:rsid w:val="007F0256"/>
    <w:rsid w:val="007F0604"/>
    <w:rsid w:val="007F0DC3"/>
    <w:rsid w:val="007F15A7"/>
    <w:rsid w:val="007F2780"/>
    <w:rsid w:val="007F27AA"/>
    <w:rsid w:val="007F304B"/>
    <w:rsid w:val="007F39CE"/>
    <w:rsid w:val="007F3ACC"/>
    <w:rsid w:val="007F3DC9"/>
    <w:rsid w:val="007F4B39"/>
    <w:rsid w:val="007F5E32"/>
    <w:rsid w:val="007F6705"/>
    <w:rsid w:val="007F6E98"/>
    <w:rsid w:val="007F70AB"/>
    <w:rsid w:val="007F7296"/>
    <w:rsid w:val="007F7A0E"/>
    <w:rsid w:val="007F7AE2"/>
    <w:rsid w:val="00800094"/>
    <w:rsid w:val="00800D8A"/>
    <w:rsid w:val="0080147F"/>
    <w:rsid w:val="00801582"/>
    <w:rsid w:val="00801939"/>
    <w:rsid w:val="0080243C"/>
    <w:rsid w:val="008024B9"/>
    <w:rsid w:val="00803771"/>
    <w:rsid w:val="00803CF1"/>
    <w:rsid w:val="00804011"/>
    <w:rsid w:val="0080432C"/>
    <w:rsid w:val="00804440"/>
    <w:rsid w:val="00804F5F"/>
    <w:rsid w:val="00805EB6"/>
    <w:rsid w:val="008062B3"/>
    <w:rsid w:val="00806636"/>
    <w:rsid w:val="00807393"/>
    <w:rsid w:val="0081101D"/>
    <w:rsid w:val="00811690"/>
    <w:rsid w:val="00811752"/>
    <w:rsid w:val="008117D5"/>
    <w:rsid w:val="00811BF2"/>
    <w:rsid w:val="008124B7"/>
    <w:rsid w:val="008126ED"/>
    <w:rsid w:val="00813254"/>
    <w:rsid w:val="0081335D"/>
    <w:rsid w:val="00813ED0"/>
    <w:rsid w:val="008143CB"/>
    <w:rsid w:val="0081445B"/>
    <w:rsid w:val="00814519"/>
    <w:rsid w:val="0081485B"/>
    <w:rsid w:val="008149BE"/>
    <w:rsid w:val="008153AE"/>
    <w:rsid w:val="00817765"/>
    <w:rsid w:val="00821622"/>
    <w:rsid w:val="008217E8"/>
    <w:rsid w:val="00821B30"/>
    <w:rsid w:val="0082203E"/>
    <w:rsid w:val="008220AB"/>
    <w:rsid w:val="008223F1"/>
    <w:rsid w:val="0082252D"/>
    <w:rsid w:val="008228E0"/>
    <w:rsid w:val="00823C1A"/>
    <w:rsid w:val="00823DCC"/>
    <w:rsid w:val="00825491"/>
    <w:rsid w:val="008264F1"/>
    <w:rsid w:val="00827242"/>
    <w:rsid w:val="00827941"/>
    <w:rsid w:val="00827DF7"/>
    <w:rsid w:val="008306D9"/>
    <w:rsid w:val="0083072B"/>
    <w:rsid w:val="00830B42"/>
    <w:rsid w:val="00830CE7"/>
    <w:rsid w:val="008310BB"/>
    <w:rsid w:val="00831C33"/>
    <w:rsid w:val="00831CCB"/>
    <w:rsid w:val="00831CF6"/>
    <w:rsid w:val="00832386"/>
    <w:rsid w:val="0083260C"/>
    <w:rsid w:val="008327B7"/>
    <w:rsid w:val="008330ED"/>
    <w:rsid w:val="00833705"/>
    <w:rsid w:val="00833D98"/>
    <w:rsid w:val="00834883"/>
    <w:rsid w:val="0083489B"/>
    <w:rsid w:val="00834A62"/>
    <w:rsid w:val="00834E83"/>
    <w:rsid w:val="00835754"/>
    <w:rsid w:val="00836757"/>
    <w:rsid w:val="00836859"/>
    <w:rsid w:val="00836D1D"/>
    <w:rsid w:val="00840019"/>
    <w:rsid w:val="00840ACA"/>
    <w:rsid w:val="00840E9D"/>
    <w:rsid w:val="008416C7"/>
    <w:rsid w:val="00841E16"/>
    <w:rsid w:val="008423F5"/>
    <w:rsid w:val="00842543"/>
    <w:rsid w:val="00842C5F"/>
    <w:rsid w:val="0084315C"/>
    <w:rsid w:val="0084352A"/>
    <w:rsid w:val="0084357F"/>
    <w:rsid w:val="008436A1"/>
    <w:rsid w:val="008438FF"/>
    <w:rsid w:val="00843F9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392E"/>
    <w:rsid w:val="0085470A"/>
    <w:rsid w:val="00854B6E"/>
    <w:rsid w:val="00855AF6"/>
    <w:rsid w:val="00856131"/>
    <w:rsid w:val="008563D7"/>
    <w:rsid w:val="008569BD"/>
    <w:rsid w:val="00856CCB"/>
    <w:rsid w:val="00856D9A"/>
    <w:rsid w:val="008573A2"/>
    <w:rsid w:val="00857B3C"/>
    <w:rsid w:val="00857D01"/>
    <w:rsid w:val="0086117F"/>
    <w:rsid w:val="008611CD"/>
    <w:rsid w:val="0086199A"/>
    <w:rsid w:val="008627E1"/>
    <w:rsid w:val="00862F19"/>
    <w:rsid w:val="00863044"/>
    <w:rsid w:val="0086479A"/>
    <w:rsid w:val="008647F3"/>
    <w:rsid w:val="008654C3"/>
    <w:rsid w:val="0086599C"/>
    <w:rsid w:val="00865AA0"/>
    <w:rsid w:val="00865B0E"/>
    <w:rsid w:val="00865B8B"/>
    <w:rsid w:val="00867255"/>
    <w:rsid w:val="008678CB"/>
    <w:rsid w:val="0086798E"/>
    <w:rsid w:val="00867A40"/>
    <w:rsid w:val="00867D47"/>
    <w:rsid w:val="00870B5F"/>
    <w:rsid w:val="008714BE"/>
    <w:rsid w:val="008716E4"/>
    <w:rsid w:val="008728EB"/>
    <w:rsid w:val="00872D1A"/>
    <w:rsid w:val="00873C57"/>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2A88"/>
    <w:rsid w:val="00883487"/>
    <w:rsid w:val="0088355F"/>
    <w:rsid w:val="00883669"/>
    <w:rsid w:val="00883B5C"/>
    <w:rsid w:val="00883CF0"/>
    <w:rsid w:val="00884B75"/>
    <w:rsid w:val="00885074"/>
    <w:rsid w:val="008859EB"/>
    <w:rsid w:val="00885BB6"/>
    <w:rsid w:val="008861F5"/>
    <w:rsid w:val="0088728A"/>
    <w:rsid w:val="008872F9"/>
    <w:rsid w:val="00890253"/>
    <w:rsid w:val="00890AB0"/>
    <w:rsid w:val="00891487"/>
    <w:rsid w:val="00891821"/>
    <w:rsid w:val="00891B06"/>
    <w:rsid w:val="00892C3E"/>
    <w:rsid w:val="00892F75"/>
    <w:rsid w:val="0089355D"/>
    <w:rsid w:val="00893E9F"/>
    <w:rsid w:val="0089534A"/>
    <w:rsid w:val="00895CD6"/>
    <w:rsid w:val="00896F84"/>
    <w:rsid w:val="00897033"/>
    <w:rsid w:val="00897D1E"/>
    <w:rsid w:val="008A0BFC"/>
    <w:rsid w:val="008A1D75"/>
    <w:rsid w:val="008A2FBA"/>
    <w:rsid w:val="008A344A"/>
    <w:rsid w:val="008A3493"/>
    <w:rsid w:val="008A3614"/>
    <w:rsid w:val="008A4040"/>
    <w:rsid w:val="008A494F"/>
    <w:rsid w:val="008A49D2"/>
    <w:rsid w:val="008A4A66"/>
    <w:rsid w:val="008A4B2C"/>
    <w:rsid w:val="008A4D18"/>
    <w:rsid w:val="008A5102"/>
    <w:rsid w:val="008A6219"/>
    <w:rsid w:val="008A6369"/>
    <w:rsid w:val="008A6731"/>
    <w:rsid w:val="008A6A5E"/>
    <w:rsid w:val="008A797F"/>
    <w:rsid w:val="008A7DBB"/>
    <w:rsid w:val="008B04F9"/>
    <w:rsid w:val="008B09EE"/>
    <w:rsid w:val="008B18CE"/>
    <w:rsid w:val="008B1B90"/>
    <w:rsid w:val="008B20B2"/>
    <w:rsid w:val="008B2250"/>
    <w:rsid w:val="008B269F"/>
    <w:rsid w:val="008B2C8B"/>
    <w:rsid w:val="008B397D"/>
    <w:rsid w:val="008B3B1C"/>
    <w:rsid w:val="008B3BEB"/>
    <w:rsid w:val="008B5BC4"/>
    <w:rsid w:val="008B62F4"/>
    <w:rsid w:val="008B64CE"/>
    <w:rsid w:val="008B70FE"/>
    <w:rsid w:val="008B7656"/>
    <w:rsid w:val="008C05F3"/>
    <w:rsid w:val="008C0F92"/>
    <w:rsid w:val="008C1080"/>
    <w:rsid w:val="008C131A"/>
    <w:rsid w:val="008C186F"/>
    <w:rsid w:val="008C1967"/>
    <w:rsid w:val="008C25CC"/>
    <w:rsid w:val="008C276C"/>
    <w:rsid w:val="008C28C7"/>
    <w:rsid w:val="008C2CBA"/>
    <w:rsid w:val="008C2D29"/>
    <w:rsid w:val="008C2DD3"/>
    <w:rsid w:val="008C3279"/>
    <w:rsid w:val="008C3FF6"/>
    <w:rsid w:val="008C4839"/>
    <w:rsid w:val="008C6058"/>
    <w:rsid w:val="008C70AD"/>
    <w:rsid w:val="008C7405"/>
    <w:rsid w:val="008C7D55"/>
    <w:rsid w:val="008C7F10"/>
    <w:rsid w:val="008C7F4D"/>
    <w:rsid w:val="008D0688"/>
    <w:rsid w:val="008D276E"/>
    <w:rsid w:val="008D2A7E"/>
    <w:rsid w:val="008D4C85"/>
    <w:rsid w:val="008D5541"/>
    <w:rsid w:val="008D6D87"/>
    <w:rsid w:val="008E01AC"/>
    <w:rsid w:val="008E0421"/>
    <w:rsid w:val="008E074A"/>
    <w:rsid w:val="008E10FD"/>
    <w:rsid w:val="008E1538"/>
    <w:rsid w:val="008E1775"/>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541"/>
    <w:rsid w:val="008F477F"/>
    <w:rsid w:val="008F5605"/>
    <w:rsid w:val="008F563E"/>
    <w:rsid w:val="008F591D"/>
    <w:rsid w:val="008F5938"/>
    <w:rsid w:val="008F5ED5"/>
    <w:rsid w:val="008F6698"/>
    <w:rsid w:val="008F6905"/>
    <w:rsid w:val="008F694A"/>
    <w:rsid w:val="008F77CF"/>
    <w:rsid w:val="008F7900"/>
    <w:rsid w:val="0090065D"/>
    <w:rsid w:val="0090159B"/>
    <w:rsid w:val="00901683"/>
    <w:rsid w:val="00901AA7"/>
    <w:rsid w:val="009025E9"/>
    <w:rsid w:val="00903A52"/>
    <w:rsid w:val="00903DED"/>
    <w:rsid w:val="009040E6"/>
    <w:rsid w:val="009044C2"/>
    <w:rsid w:val="00904D2F"/>
    <w:rsid w:val="00905060"/>
    <w:rsid w:val="0090561D"/>
    <w:rsid w:val="009060E6"/>
    <w:rsid w:val="00906C20"/>
    <w:rsid w:val="00906E3C"/>
    <w:rsid w:val="009071FC"/>
    <w:rsid w:val="00907520"/>
    <w:rsid w:val="00910611"/>
    <w:rsid w:val="00910BC5"/>
    <w:rsid w:val="00910D61"/>
    <w:rsid w:val="00910E3A"/>
    <w:rsid w:val="009118F9"/>
    <w:rsid w:val="0091214C"/>
    <w:rsid w:val="00913977"/>
    <w:rsid w:val="00914203"/>
    <w:rsid w:val="00915059"/>
    <w:rsid w:val="00915822"/>
    <w:rsid w:val="009163F2"/>
    <w:rsid w:val="0091760A"/>
    <w:rsid w:val="00917F6F"/>
    <w:rsid w:val="009228DD"/>
    <w:rsid w:val="009231C2"/>
    <w:rsid w:val="0092560D"/>
    <w:rsid w:val="00925867"/>
    <w:rsid w:val="00925DD5"/>
    <w:rsid w:val="0092649C"/>
    <w:rsid w:val="0092752C"/>
    <w:rsid w:val="00927E02"/>
    <w:rsid w:val="00927F34"/>
    <w:rsid w:val="00930216"/>
    <w:rsid w:val="00930A51"/>
    <w:rsid w:val="00931A98"/>
    <w:rsid w:val="009321E6"/>
    <w:rsid w:val="0093234D"/>
    <w:rsid w:val="009335CA"/>
    <w:rsid w:val="00933951"/>
    <w:rsid w:val="00934643"/>
    <w:rsid w:val="00934780"/>
    <w:rsid w:val="009348A1"/>
    <w:rsid w:val="00936E16"/>
    <w:rsid w:val="00936ED8"/>
    <w:rsid w:val="009370E1"/>
    <w:rsid w:val="009370FC"/>
    <w:rsid w:val="00937C62"/>
    <w:rsid w:val="00940600"/>
    <w:rsid w:val="00940AD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77B9"/>
    <w:rsid w:val="009509FD"/>
    <w:rsid w:val="00950CE7"/>
    <w:rsid w:val="00951097"/>
    <w:rsid w:val="00951594"/>
    <w:rsid w:val="00951AE4"/>
    <w:rsid w:val="00953349"/>
    <w:rsid w:val="00954A06"/>
    <w:rsid w:val="00954B9B"/>
    <w:rsid w:val="009550AA"/>
    <w:rsid w:val="00955916"/>
    <w:rsid w:val="0095638E"/>
    <w:rsid w:val="00956846"/>
    <w:rsid w:val="00956CDF"/>
    <w:rsid w:val="00956D70"/>
    <w:rsid w:val="009572D6"/>
    <w:rsid w:val="00960533"/>
    <w:rsid w:val="009606B4"/>
    <w:rsid w:val="00960746"/>
    <w:rsid w:val="00960888"/>
    <w:rsid w:val="00960E77"/>
    <w:rsid w:val="00961311"/>
    <w:rsid w:val="00961651"/>
    <w:rsid w:val="009617A9"/>
    <w:rsid w:val="009618A9"/>
    <w:rsid w:val="00961B6C"/>
    <w:rsid w:val="0096213D"/>
    <w:rsid w:val="00962A3E"/>
    <w:rsid w:val="00962A99"/>
    <w:rsid w:val="0096341A"/>
    <w:rsid w:val="009635A7"/>
    <w:rsid w:val="00964425"/>
    <w:rsid w:val="00964ED5"/>
    <w:rsid w:val="00965E56"/>
    <w:rsid w:val="00965F20"/>
    <w:rsid w:val="00966232"/>
    <w:rsid w:val="0096637B"/>
    <w:rsid w:val="009664C7"/>
    <w:rsid w:val="0097047F"/>
    <w:rsid w:val="00970F83"/>
    <w:rsid w:val="0097113A"/>
    <w:rsid w:val="00971DB8"/>
    <w:rsid w:val="009732AB"/>
    <w:rsid w:val="0097381F"/>
    <w:rsid w:val="00973DC0"/>
    <w:rsid w:val="00975339"/>
    <w:rsid w:val="00977D86"/>
    <w:rsid w:val="009809A0"/>
    <w:rsid w:val="00980FD5"/>
    <w:rsid w:val="00981211"/>
    <w:rsid w:val="009814BA"/>
    <w:rsid w:val="00981B3B"/>
    <w:rsid w:val="00981DF3"/>
    <w:rsid w:val="00982786"/>
    <w:rsid w:val="00982AAE"/>
    <w:rsid w:val="00982BE2"/>
    <w:rsid w:val="00982C3A"/>
    <w:rsid w:val="009832C1"/>
    <w:rsid w:val="009836E6"/>
    <w:rsid w:val="009838DD"/>
    <w:rsid w:val="009845A3"/>
    <w:rsid w:val="00984C26"/>
    <w:rsid w:val="0098525B"/>
    <w:rsid w:val="00985717"/>
    <w:rsid w:val="00985770"/>
    <w:rsid w:val="009857D5"/>
    <w:rsid w:val="00986C10"/>
    <w:rsid w:val="00986D96"/>
    <w:rsid w:val="00987327"/>
    <w:rsid w:val="009875D1"/>
    <w:rsid w:val="0099046B"/>
    <w:rsid w:val="009911DF"/>
    <w:rsid w:val="00992AEB"/>
    <w:rsid w:val="00992ECB"/>
    <w:rsid w:val="0099305B"/>
    <w:rsid w:val="009939D8"/>
    <w:rsid w:val="00993E62"/>
    <w:rsid w:val="00993F89"/>
    <w:rsid w:val="00994642"/>
    <w:rsid w:val="00994811"/>
    <w:rsid w:val="009966DC"/>
    <w:rsid w:val="0099694D"/>
    <w:rsid w:val="00997536"/>
    <w:rsid w:val="00997957"/>
    <w:rsid w:val="009A0062"/>
    <w:rsid w:val="009A0069"/>
    <w:rsid w:val="009A0411"/>
    <w:rsid w:val="009A0427"/>
    <w:rsid w:val="009A067B"/>
    <w:rsid w:val="009A0733"/>
    <w:rsid w:val="009A1DA0"/>
    <w:rsid w:val="009A2A20"/>
    <w:rsid w:val="009A2D35"/>
    <w:rsid w:val="009A38D8"/>
    <w:rsid w:val="009A39E3"/>
    <w:rsid w:val="009A4F7F"/>
    <w:rsid w:val="009A519B"/>
    <w:rsid w:val="009A5411"/>
    <w:rsid w:val="009A693B"/>
    <w:rsid w:val="009A78ED"/>
    <w:rsid w:val="009A7B00"/>
    <w:rsid w:val="009B03AF"/>
    <w:rsid w:val="009B0731"/>
    <w:rsid w:val="009B0996"/>
    <w:rsid w:val="009B0B4D"/>
    <w:rsid w:val="009B0C1C"/>
    <w:rsid w:val="009B163B"/>
    <w:rsid w:val="009B1F99"/>
    <w:rsid w:val="009B25E6"/>
    <w:rsid w:val="009B2875"/>
    <w:rsid w:val="009B4549"/>
    <w:rsid w:val="009B4CB4"/>
    <w:rsid w:val="009B51C7"/>
    <w:rsid w:val="009B5328"/>
    <w:rsid w:val="009B5413"/>
    <w:rsid w:val="009B55E2"/>
    <w:rsid w:val="009B6CD8"/>
    <w:rsid w:val="009B6EC9"/>
    <w:rsid w:val="009C000B"/>
    <w:rsid w:val="009C0097"/>
    <w:rsid w:val="009C03AA"/>
    <w:rsid w:val="009C0C35"/>
    <w:rsid w:val="009C1262"/>
    <w:rsid w:val="009C1B7D"/>
    <w:rsid w:val="009C2060"/>
    <w:rsid w:val="009C32C7"/>
    <w:rsid w:val="009C3B5D"/>
    <w:rsid w:val="009C458C"/>
    <w:rsid w:val="009C458E"/>
    <w:rsid w:val="009C4A36"/>
    <w:rsid w:val="009C4D99"/>
    <w:rsid w:val="009C519E"/>
    <w:rsid w:val="009C52CB"/>
    <w:rsid w:val="009C5587"/>
    <w:rsid w:val="009C58B4"/>
    <w:rsid w:val="009C5F02"/>
    <w:rsid w:val="009C6A3A"/>
    <w:rsid w:val="009C7361"/>
    <w:rsid w:val="009C76FD"/>
    <w:rsid w:val="009D01BF"/>
    <w:rsid w:val="009D0A75"/>
    <w:rsid w:val="009D111E"/>
    <w:rsid w:val="009D19F2"/>
    <w:rsid w:val="009D214A"/>
    <w:rsid w:val="009D2576"/>
    <w:rsid w:val="009D26DF"/>
    <w:rsid w:val="009D301C"/>
    <w:rsid w:val="009D3654"/>
    <w:rsid w:val="009D3EF2"/>
    <w:rsid w:val="009D4339"/>
    <w:rsid w:val="009D449D"/>
    <w:rsid w:val="009D48DA"/>
    <w:rsid w:val="009D66E2"/>
    <w:rsid w:val="009D6A72"/>
    <w:rsid w:val="009D7213"/>
    <w:rsid w:val="009D75B8"/>
    <w:rsid w:val="009E0C01"/>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627B"/>
    <w:rsid w:val="009F6D79"/>
    <w:rsid w:val="00A009FA"/>
    <w:rsid w:val="00A00CE6"/>
    <w:rsid w:val="00A01552"/>
    <w:rsid w:val="00A01658"/>
    <w:rsid w:val="00A0170C"/>
    <w:rsid w:val="00A01A77"/>
    <w:rsid w:val="00A03BCD"/>
    <w:rsid w:val="00A05DFB"/>
    <w:rsid w:val="00A06460"/>
    <w:rsid w:val="00A070DA"/>
    <w:rsid w:val="00A0778F"/>
    <w:rsid w:val="00A10082"/>
    <w:rsid w:val="00A101FF"/>
    <w:rsid w:val="00A1131E"/>
    <w:rsid w:val="00A11539"/>
    <w:rsid w:val="00A12539"/>
    <w:rsid w:val="00A13120"/>
    <w:rsid w:val="00A13E05"/>
    <w:rsid w:val="00A14792"/>
    <w:rsid w:val="00A15910"/>
    <w:rsid w:val="00A1776B"/>
    <w:rsid w:val="00A17A17"/>
    <w:rsid w:val="00A17BC5"/>
    <w:rsid w:val="00A17CA2"/>
    <w:rsid w:val="00A20BED"/>
    <w:rsid w:val="00A21EF6"/>
    <w:rsid w:val="00A226BC"/>
    <w:rsid w:val="00A23221"/>
    <w:rsid w:val="00A2359B"/>
    <w:rsid w:val="00A2389A"/>
    <w:rsid w:val="00A23BAD"/>
    <w:rsid w:val="00A23D48"/>
    <w:rsid w:val="00A2400F"/>
    <w:rsid w:val="00A24166"/>
    <w:rsid w:val="00A2435B"/>
    <w:rsid w:val="00A26006"/>
    <w:rsid w:val="00A2677B"/>
    <w:rsid w:val="00A26789"/>
    <w:rsid w:val="00A272EF"/>
    <w:rsid w:val="00A27858"/>
    <w:rsid w:val="00A27BE2"/>
    <w:rsid w:val="00A31376"/>
    <w:rsid w:val="00A31F4B"/>
    <w:rsid w:val="00A323F7"/>
    <w:rsid w:val="00A3311F"/>
    <w:rsid w:val="00A339EA"/>
    <w:rsid w:val="00A33D88"/>
    <w:rsid w:val="00A34010"/>
    <w:rsid w:val="00A345C6"/>
    <w:rsid w:val="00A348FF"/>
    <w:rsid w:val="00A34BBD"/>
    <w:rsid w:val="00A34DE7"/>
    <w:rsid w:val="00A34EFF"/>
    <w:rsid w:val="00A35520"/>
    <w:rsid w:val="00A35737"/>
    <w:rsid w:val="00A36371"/>
    <w:rsid w:val="00A36EF2"/>
    <w:rsid w:val="00A37624"/>
    <w:rsid w:val="00A37BE7"/>
    <w:rsid w:val="00A4058D"/>
    <w:rsid w:val="00A406D8"/>
    <w:rsid w:val="00A40B5C"/>
    <w:rsid w:val="00A40C5B"/>
    <w:rsid w:val="00A40F96"/>
    <w:rsid w:val="00A4155F"/>
    <w:rsid w:val="00A4161C"/>
    <w:rsid w:val="00A41EFC"/>
    <w:rsid w:val="00A43212"/>
    <w:rsid w:val="00A432EA"/>
    <w:rsid w:val="00A43558"/>
    <w:rsid w:val="00A43B30"/>
    <w:rsid w:val="00A43D21"/>
    <w:rsid w:val="00A44824"/>
    <w:rsid w:val="00A44993"/>
    <w:rsid w:val="00A45D21"/>
    <w:rsid w:val="00A466FB"/>
    <w:rsid w:val="00A46765"/>
    <w:rsid w:val="00A47672"/>
    <w:rsid w:val="00A4777A"/>
    <w:rsid w:val="00A47C4F"/>
    <w:rsid w:val="00A47D3B"/>
    <w:rsid w:val="00A509AE"/>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2A3E"/>
    <w:rsid w:val="00A62C51"/>
    <w:rsid w:val="00A62C6C"/>
    <w:rsid w:val="00A631D8"/>
    <w:rsid w:val="00A63E70"/>
    <w:rsid w:val="00A644F3"/>
    <w:rsid w:val="00A64B26"/>
    <w:rsid w:val="00A658CE"/>
    <w:rsid w:val="00A6608B"/>
    <w:rsid w:val="00A671C5"/>
    <w:rsid w:val="00A67CED"/>
    <w:rsid w:val="00A67F2F"/>
    <w:rsid w:val="00A70683"/>
    <w:rsid w:val="00A7096D"/>
    <w:rsid w:val="00A71007"/>
    <w:rsid w:val="00A710C3"/>
    <w:rsid w:val="00A72FBC"/>
    <w:rsid w:val="00A7315C"/>
    <w:rsid w:val="00A73322"/>
    <w:rsid w:val="00A735BD"/>
    <w:rsid w:val="00A739B3"/>
    <w:rsid w:val="00A74D6D"/>
    <w:rsid w:val="00A75431"/>
    <w:rsid w:val="00A761C3"/>
    <w:rsid w:val="00A76DA0"/>
    <w:rsid w:val="00A77222"/>
    <w:rsid w:val="00A77E21"/>
    <w:rsid w:val="00A80DB4"/>
    <w:rsid w:val="00A80EFC"/>
    <w:rsid w:val="00A80F2B"/>
    <w:rsid w:val="00A816EF"/>
    <w:rsid w:val="00A81A84"/>
    <w:rsid w:val="00A81DA6"/>
    <w:rsid w:val="00A83806"/>
    <w:rsid w:val="00A83831"/>
    <w:rsid w:val="00A840AD"/>
    <w:rsid w:val="00A8459F"/>
    <w:rsid w:val="00A85CE6"/>
    <w:rsid w:val="00A871E2"/>
    <w:rsid w:val="00A877AD"/>
    <w:rsid w:val="00A87B07"/>
    <w:rsid w:val="00A90615"/>
    <w:rsid w:val="00A9062C"/>
    <w:rsid w:val="00A91941"/>
    <w:rsid w:val="00A91A55"/>
    <w:rsid w:val="00A9217C"/>
    <w:rsid w:val="00A92AB8"/>
    <w:rsid w:val="00A93446"/>
    <w:rsid w:val="00A94475"/>
    <w:rsid w:val="00A94595"/>
    <w:rsid w:val="00A94E9F"/>
    <w:rsid w:val="00A95113"/>
    <w:rsid w:val="00A95F2C"/>
    <w:rsid w:val="00A96694"/>
    <w:rsid w:val="00A97759"/>
    <w:rsid w:val="00A97A34"/>
    <w:rsid w:val="00AA02D0"/>
    <w:rsid w:val="00AA0E4F"/>
    <w:rsid w:val="00AA19D0"/>
    <w:rsid w:val="00AA20D6"/>
    <w:rsid w:val="00AA238E"/>
    <w:rsid w:val="00AA28CC"/>
    <w:rsid w:val="00AA347A"/>
    <w:rsid w:val="00AA462F"/>
    <w:rsid w:val="00AA4960"/>
    <w:rsid w:val="00AA4D19"/>
    <w:rsid w:val="00AA4FC9"/>
    <w:rsid w:val="00AA54B6"/>
    <w:rsid w:val="00AA5832"/>
    <w:rsid w:val="00AA6941"/>
    <w:rsid w:val="00AA74E6"/>
    <w:rsid w:val="00AA7EFA"/>
    <w:rsid w:val="00AB0FCC"/>
    <w:rsid w:val="00AB185C"/>
    <w:rsid w:val="00AB21A2"/>
    <w:rsid w:val="00AB2229"/>
    <w:rsid w:val="00AB2869"/>
    <w:rsid w:val="00AB2F5E"/>
    <w:rsid w:val="00AB30D5"/>
    <w:rsid w:val="00AB3E3C"/>
    <w:rsid w:val="00AB4250"/>
    <w:rsid w:val="00AB4865"/>
    <w:rsid w:val="00AB4C44"/>
    <w:rsid w:val="00AB6678"/>
    <w:rsid w:val="00AC0119"/>
    <w:rsid w:val="00AC0750"/>
    <w:rsid w:val="00AC0D3A"/>
    <w:rsid w:val="00AC238C"/>
    <w:rsid w:val="00AC3C6A"/>
    <w:rsid w:val="00AC4D20"/>
    <w:rsid w:val="00AC53C8"/>
    <w:rsid w:val="00AC5535"/>
    <w:rsid w:val="00AC5DE1"/>
    <w:rsid w:val="00AC6094"/>
    <w:rsid w:val="00AC62E4"/>
    <w:rsid w:val="00AC6D33"/>
    <w:rsid w:val="00AD025C"/>
    <w:rsid w:val="00AD02BF"/>
    <w:rsid w:val="00AD04E0"/>
    <w:rsid w:val="00AD1109"/>
    <w:rsid w:val="00AD1681"/>
    <w:rsid w:val="00AD2B53"/>
    <w:rsid w:val="00AD300B"/>
    <w:rsid w:val="00AD545D"/>
    <w:rsid w:val="00AD5A35"/>
    <w:rsid w:val="00AD685A"/>
    <w:rsid w:val="00AD733A"/>
    <w:rsid w:val="00AD741B"/>
    <w:rsid w:val="00AE0042"/>
    <w:rsid w:val="00AE0274"/>
    <w:rsid w:val="00AE1403"/>
    <w:rsid w:val="00AE148B"/>
    <w:rsid w:val="00AE21B4"/>
    <w:rsid w:val="00AE246C"/>
    <w:rsid w:val="00AE3AC0"/>
    <w:rsid w:val="00AE4342"/>
    <w:rsid w:val="00AE465E"/>
    <w:rsid w:val="00AE53E7"/>
    <w:rsid w:val="00AE543D"/>
    <w:rsid w:val="00AE56A1"/>
    <w:rsid w:val="00AE586B"/>
    <w:rsid w:val="00AE5CC7"/>
    <w:rsid w:val="00AE6994"/>
    <w:rsid w:val="00AE7BA7"/>
    <w:rsid w:val="00AF022A"/>
    <w:rsid w:val="00AF042E"/>
    <w:rsid w:val="00AF15B8"/>
    <w:rsid w:val="00AF16D1"/>
    <w:rsid w:val="00AF2AA8"/>
    <w:rsid w:val="00AF33F6"/>
    <w:rsid w:val="00AF405D"/>
    <w:rsid w:val="00AF4390"/>
    <w:rsid w:val="00AF5D29"/>
    <w:rsid w:val="00AF623E"/>
    <w:rsid w:val="00AF62F1"/>
    <w:rsid w:val="00AF6390"/>
    <w:rsid w:val="00AF75A8"/>
    <w:rsid w:val="00AF764A"/>
    <w:rsid w:val="00B006E8"/>
    <w:rsid w:val="00B011A3"/>
    <w:rsid w:val="00B01619"/>
    <w:rsid w:val="00B017B4"/>
    <w:rsid w:val="00B022FC"/>
    <w:rsid w:val="00B0289D"/>
    <w:rsid w:val="00B02B6D"/>
    <w:rsid w:val="00B044B1"/>
    <w:rsid w:val="00B05EB5"/>
    <w:rsid w:val="00B068D2"/>
    <w:rsid w:val="00B069FC"/>
    <w:rsid w:val="00B06DFC"/>
    <w:rsid w:val="00B07356"/>
    <w:rsid w:val="00B113DD"/>
    <w:rsid w:val="00B11A92"/>
    <w:rsid w:val="00B12315"/>
    <w:rsid w:val="00B1252E"/>
    <w:rsid w:val="00B1265C"/>
    <w:rsid w:val="00B12C18"/>
    <w:rsid w:val="00B12D1A"/>
    <w:rsid w:val="00B13819"/>
    <w:rsid w:val="00B14571"/>
    <w:rsid w:val="00B14C1A"/>
    <w:rsid w:val="00B15097"/>
    <w:rsid w:val="00B1521D"/>
    <w:rsid w:val="00B15505"/>
    <w:rsid w:val="00B15672"/>
    <w:rsid w:val="00B17D65"/>
    <w:rsid w:val="00B20DE9"/>
    <w:rsid w:val="00B21C2E"/>
    <w:rsid w:val="00B21FD6"/>
    <w:rsid w:val="00B22748"/>
    <w:rsid w:val="00B22E11"/>
    <w:rsid w:val="00B2391B"/>
    <w:rsid w:val="00B23A16"/>
    <w:rsid w:val="00B23AFC"/>
    <w:rsid w:val="00B247AB"/>
    <w:rsid w:val="00B24DEB"/>
    <w:rsid w:val="00B24F10"/>
    <w:rsid w:val="00B2539D"/>
    <w:rsid w:val="00B25660"/>
    <w:rsid w:val="00B25AB0"/>
    <w:rsid w:val="00B26183"/>
    <w:rsid w:val="00B267D9"/>
    <w:rsid w:val="00B27546"/>
    <w:rsid w:val="00B27732"/>
    <w:rsid w:val="00B27C76"/>
    <w:rsid w:val="00B30499"/>
    <w:rsid w:val="00B306AA"/>
    <w:rsid w:val="00B30748"/>
    <w:rsid w:val="00B30AF2"/>
    <w:rsid w:val="00B31D3E"/>
    <w:rsid w:val="00B31DDE"/>
    <w:rsid w:val="00B33C2F"/>
    <w:rsid w:val="00B33EC5"/>
    <w:rsid w:val="00B3409D"/>
    <w:rsid w:val="00B34B0B"/>
    <w:rsid w:val="00B35590"/>
    <w:rsid w:val="00B35A9B"/>
    <w:rsid w:val="00B366BB"/>
    <w:rsid w:val="00B3705D"/>
    <w:rsid w:val="00B37EA3"/>
    <w:rsid w:val="00B407D3"/>
    <w:rsid w:val="00B40D0A"/>
    <w:rsid w:val="00B40DA4"/>
    <w:rsid w:val="00B40F77"/>
    <w:rsid w:val="00B4131F"/>
    <w:rsid w:val="00B42ABC"/>
    <w:rsid w:val="00B43318"/>
    <w:rsid w:val="00B43396"/>
    <w:rsid w:val="00B433BF"/>
    <w:rsid w:val="00B44090"/>
    <w:rsid w:val="00B444C4"/>
    <w:rsid w:val="00B446C4"/>
    <w:rsid w:val="00B46279"/>
    <w:rsid w:val="00B46634"/>
    <w:rsid w:val="00B47903"/>
    <w:rsid w:val="00B47967"/>
    <w:rsid w:val="00B479E9"/>
    <w:rsid w:val="00B50F34"/>
    <w:rsid w:val="00B51186"/>
    <w:rsid w:val="00B512DC"/>
    <w:rsid w:val="00B5171E"/>
    <w:rsid w:val="00B51C31"/>
    <w:rsid w:val="00B52CFB"/>
    <w:rsid w:val="00B539D3"/>
    <w:rsid w:val="00B53B29"/>
    <w:rsid w:val="00B53D45"/>
    <w:rsid w:val="00B548BE"/>
    <w:rsid w:val="00B54B26"/>
    <w:rsid w:val="00B54FF8"/>
    <w:rsid w:val="00B559A6"/>
    <w:rsid w:val="00B55E70"/>
    <w:rsid w:val="00B563A7"/>
    <w:rsid w:val="00B57477"/>
    <w:rsid w:val="00B574C7"/>
    <w:rsid w:val="00B57D53"/>
    <w:rsid w:val="00B57DCA"/>
    <w:rsid w:val="00B61864"/>
    <w:rsid w:val="00B61DE8"/>
    <w:rsid w:val="00B624E5"/>
    <w:rsid w:val="00B62808"/>
    <w:rsid w:val="00B632AA"/>
    <w:rsid w:val="00B639B9"/>
    <w:rsid w:val="00B63AE0"/>
    <w:rsid w:val="00B63BBD"/>
    <w:rsid w:val="00B63DB5"/>
    <w:rsid w:val="00B641F9"/>
    <w:rsid w:val="00B65939"/>
    <w:rsid w:val="00B65C44"/>
    <w:rsid w:val="00B65E49"/>
    <w:rsid w:val="00B65E98"/>
    <w:rsid w:val="00B667E9"/>
    <w:rsid w:val="00B66C42"/>
    <w:rsid w:val="00B67293"/>
    <w:rsid w:val="00B67429"/>
    <w:rsid w:val="00B67CD3"/>
    <w:rsid w:val="00B700D1"/>
    <w:rsid w:val="00B705A0"/>
    <w:rsid w:val="00B70610"/>
    <w:rsid w:val="00B70C23"/>
    <w:rsid w:val="00B70E24"/>
    <w:rsid w:val="00B719B9"/>
    <w:rsid w:val="00B71D92"/>
    <w:rsid w:val="00B721D6"/>
    <w:rsid w:val="00B72202"/>
    <w:rsid w:val="00B731F0"/>
    <w:rsid w:val="00B73629"/>
    <w:rsid w:val="00B736B5"/>
    <w:rsid w:val="00B73EA6"/>
    <w:rsid w:val="00B745E2"/>
    <w:rsid w:val="00B755E5"/>
    <w:rsid w:val="00B7595E"/>
    <w:rsid w:val="00B75A21"/>
    <w:rsid w:val="00B76977"/>
    <w:rsid w:val="00B7718E"/>
    <w:rsid w:val="00B802AA"/>
    <w:rsid w:val="00B80AAC"/>
    <w:rsid w:val="00B815C2"/>
    <w:rsid w:val="00B81B31"/>
    <w:rsid w:val="00B81BE0"/>
    <w:rsid w:val="00B81F1C"/>
    <w:rsid w:val="00B82514"/>
    <w:rsid w:val="00B82A9D"/>
    <w:rsid w:val="00B8365A"/>
    <w:rsid w:val="00B8369D"/>
    <w:rsid w:val="00B840D4"/>
    <w:rsid w:val="00B843B5"/>
    <w:rsid w:val="00B849AE"/>
    <w:rsid w:val="00B8545B"/>
    <w:rsid w:val="00B85466"/>
    <w:rsid w:val="00B8582F"/>
    <w:rsid w:val="00B868B2"/>
    <w:rsid w:val="00B87285"/>
    <w:rsid w:val="00B872ED"/>
    <w:rsid w:val="00B8794B"/>
    <w:rsid w:val="00B87ABC"/>
    <w:rsid w:val="00B87FBC"/>
    <w:rsid w:val="00B92F24"/>
    <w:rsid w:val="00B93401"/>
    <w:rsid w:val="00B9511E"/>
    <w:rsid w:val="00B95EF4"/>
    <w:rsid w:val="00B9648B"/>
    <w:rsid w:val="00B964A1"/>
    <w:rsid w:val="00B96935"/>
    <w:rsid w:val="00B96AC8"/>
    <w:rsid w:val="00B96AF1"/>
    <w:rsid w:val="00B97071"/>
    <w:rsid w:val="00B97164"/>
    <w:rsid w:val="00B9765D"/>
    <w:rsid w:val="00B97FB7"/>
    <w:rsid w:val="00BA10EB"/>
    <w:rsid w:val="00BA16E0"/>
    <w:rsid w:val="00BA1849"/>
    <w:rsid w:val="00BA297B"/>
    <w:rsid w:val="00BA3A00"/>
    <w:rsid w:val="00BA50B6"/>
    <w:rsid w:val="00BA5BA1"/>
    <w:rsid w:val="00BA5CED"/>
    <w:rsid w:val="00BA5D40"/>
    <w:rsid w:val="00BA66E8"/>
    <w:rsid w:val="00BA7413"/>
    <w:rsid w:val="00BA74E8"/>
    <w:rsid w:val="00BA7FC8"/>
    <w:rsid w:val="00BB0269"/>
    <w:rsid w:val="00BB0836"/>
    <w:rsid w:val="00BB1672"/>
    <w:rsid w:val="00BB1994"/>
    <w:rsid w:val="00BB1DDD"/>
    <w:rsid w:val="00BB2ED8"/>
    <w:rsid w:val="00BB301D"/>
    <w:rsid w:val="00BB3B54"/>
    <w:rsid w:val="00BB3D7A"/>
    <w:rsid w:val="00BB4873"/>
    <w:rsid w:val="00BB512A"/>
    <w:rsid w:val="00BB568A"/>
    <w:rsid w:val="00BB5C88"/>
    <w:rsid w:val="00BB6760"/>
    <w:rsid w:val="00BB6E82"/>
    <w:rsid w:val="00BB7070"/>
    <w:rsid w:val="00BB72DF"/>
    <w:rsid w:val="00BC0478"/>
    <w:rsid w:val="00BC0A1E"/>
    <w:rsid w:val="00BC0B8F"/>
    <w:rsid w:val="00BC11C4"/>
    <w:rsid w:val="00BC13AE"/>
    <w:rsid w:val="00BC1786"/>
    <w:rsid w:val="00BC1D8A"/>
    <w:rsid w:val="00BC35AF"/>
    <w:rsid w:val="00BC367F"/>
    <w:rsid w:val="00BC3A2F"/>
    <w:rsid w:val="00BC53EB"/>
    <w:rsid w:val="00BC57F9"/>
    <w:rsid w:val="00BC5FAB"/>
    <w:rsid w:val="00BC62B8"/>
    <w:rsid w:val="00BC73AE"/>
    <w:rsid w:val="00BC77E1"/>
    <w:rsid w:val="00BD0132"/>
    <w:rsid w:val="00BD0D89"/>
    <w:rsid w:val="00BD0D8A"/>
    <w:rsid w:val="00BD1B0C"/>
    <w:rsid w:val="00BD2253"/>
    <w:rsid w:val="00BD260E"/>
    <w:rsid w:val="00BD30CB"/>
    <w:rsid w:val="00BD3428"/>
    <w:rsid w:val="00BD35BA"/>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1B7F"/>
    <w:rsid w:val="00BE2CEF"/>
    <w:rsid w:val="00BE38BD"/>
    <w:rsid w:val="00BE45D1"/>
    <w:rsid w:val="00BE4817"/>
    <w:rsid w:val="00BE54CA"/>
    <w:rsid w:val="00BE5D4C"/>
    <w:rsid w:val="00BE6124"/>
    <w:rsid w:val="00BE68FA"/>
    <w:rsid w:val="00BE69F5"/>
    <w:rsid w:val="00BE6BA3"/>
    <w:rsid w:val="00BF0AA1"/>
    <w:rsid w:val="00BF12B9"/>
    <w:rsid w:val="00BF16CC"/>
    <w:rsid w:val="00BF1ED8"/>
    <w:rsid w:val="00BF272D"/>
    <w:rsid w:val="00BF292B"/>
    <w:rsid w:val="00BF294B"/>
    <w:rsid w:val="00BF2B41"/>
    <w:rsid w:val="00BF2D38"/>
    <w:rsid w:val="00BF2DF0"/>
    <w:rsid w:val="00BF3CA0"/>
    <w:rsid w:val="00BF3FEC"/>
    <w:rsid w:val="00BF400D"/>
    <w:rsid w:val="00BF4BDA"/>
    <w:rsid w:val="00BF53B1"/>
    <w:rsid w:val="00BF5F10"/>
    <w:rsid w:val="00BF611E"/>
    <w:rsid w:val="00BF70A6"/>
    <w:rsid w:val="00BF7980"/>
    <w:rsid w:val="00BF7B4F"/>
    <w:rsid w:val="00C007E0"/>
    <w:rsid w:val="00C0089E"/>
    <w:rsid w:val="00C012A1"/>
    <w:rsid w:val="00C01EC8"/>
    <w:rsid w:val="00C02174"/>
    <w:rsid w:val="00C029D5"/>
    <w:rsid w:val="00C02EE2"/>
    <w:rsid w:val="00C03297"/>
    <w:rsid w:val="00C03779"/>
    <w:rsid w:val="00C037A3"/>
    <w:rsid w:val="00C03837"/>
    <w:rsid w:val="00C04089"/>
    <w:rsid w:val="00C04AE5"/>
    <w:rsid w:val="00C05049"/>
    <w:rsid w:val="00C05236"/>
    <w:rsid w:val="00C0632B"/>
    <w:rsid w:val="00C06992"/>
    <w:rsid w:val="00C06E27"/>
    <w:rsid w:val="00C079F7"/>
    <w:rsid w:val="00C10EB5"/>
    <w:rsid w:val="00C117BE"/>
    <w:rsid w:val="00C1193D"/>
    <w:rsid w:val="00C126B6"/>
    <w:rsid w:val="00C12858"/>
    <w:rsid w:val="00C14CAB"/>
    <w:rsid w:val="00C15AA3"/>
    <w:rsid w:val="00C15B3E"/>
    <w:rsid w:val="00C15BAD"/>
    <w:rsid w:val="00C15BDA"/>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6773"/>
    <w:rsid w:val="00C27766"/>
    <w:rsid w:val="00C27D7B"/>
    <w:rsid w:val="00C3004C"/>
    <w:rsid w:val="00C30246"/>
    <w:rsid w:val="00C30734"/>
    <w:rsid w:val="00C30849"/>
    <w:rsid w:val="00C308B8"/>
    <w:rsid w:val="00C312CF"/>
    <w:rsid w:val="00C31C91"/>
    <w:rsid w:val="00C31CA2"/>
    <w:rsid w:val="00C32592"/>
    <w:rsid w:val="00C329C7"/>
    <w:rsid w:val="00C32A79"/>
    <w:rsid w:val="00C32A98"/>
    <w:rsid w:val="00C32AE6"/>
    <w:rsid w:val="00C32CAE"/>
    <w:rsid w:val="00C32E7D"/>
    <w:rsid w:val="00C3370B"/>
    <w:rsid w:val="00C3384E"/>
    <w:rsid w:val="00C34A31"/>
    <w:rsid w:val="00C34E7E"/>
    <w:rsid w:val="00C35693"/>
    <w:rsid w:val="00C366CB"/>
    <w:rsid w:val="00C367A9"/>
    <w:rsid w:val="00C415D1"/>
    <w:rsid w:val="00C4192A"/>
    <w:rsid w:val="00C421E8"/>
    <w:rsid w:val="00C4252E"/>
    <w:rsid w:val="00C42733"/>
    <w:rsid w:val="00C435AB"/>
    <w:rsid w:val="00C4437E"/>
    <w:rsid w:val="00C44B7B"/>
    <w:rsid w:val="00C47167"/>
    <w:rsid w:val="00C476B3"/>
    <w:rsid w:val="00C503C3"/>
    <w:rsid w:val="00C515D1"/>
    <w:rsid w:val="00C51EE3"/>
    <w:rsid w:val="00C52401"/>
    <w:rsid w:val="00C525A0"/>
    <w:rsid w:val="00C52DC8"/>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302"/>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1631"/>
    <w:rsid w:val="00C71906"/>
    <w:rsid w:val="00C724E8"/>
    <w:rsid w:val="00C7301F"/>
    <w:rsid w:val="00C75487"/>
    <w:rsid w:val="00C75861"/>
    <w:rsid w:val="00C75A33"/>
    <w:rsid w:val="00C75A34"/>
    <w:rsid w:val="00C75FC0"/>
    <w:rsid w:val="00C77CA7"/>
    <w:rsid w:val="00C77F58"/>
    <w:rsid w:val="00C80A35"/>
    <w:rsid w:val="00C80BF5"/>
    <w:rsid w:val="00C81439"/>
    <w:rsid w:val="00C816E3"/>
    <w:rsid w:val="00C819B6"/>
    <w:rsid w:val="00C81BEB"/>
    <w:rsid w:val="00C82753"/>
    <w:rsid w:val="00C828C5"/>
    <w:rsid w:val="00C8323A"/>
    <w:rsid w:val="00C83E5E"/>
    <w:rsid w:val="00C85EC0"/>
    <w:rsid w:val="00C86893"/>
    <w:rsid w:val="00C86D98"/>
    <w:rsid w:val="00C90955"/>
    <w:rsid w:val="00C913AC"/>
    <w:rsid w:val="00C91DFC"/>
    <w:rsid w:val="00C92255"/>
    <w:rsid w:val="00C93A2E"/>
    <w:rsid w:val="00C94DB9"/>
    <w:rsid w:val="00C9549D"/>
    <w:rsid w:val="00C95D1A"/>
    <w:rsid w:val="00C96004"/>
    <w:rsid w:val="00C97426"/>
    <w:rsid w:val="00C97703"/>
    <w:rsid w:val="00CA0F79"/>
    <w:rsid w:val="00CA21D4"/>
    <w:rsid w:val="00CA2256"/>
    <w:rsid w:val="00CA4346"/>
    <w:rsid w:val="00CA43C5"/>
    <w:rsid w:val="00CA43CA"/>
    <w:rsid w:val="00CA4883"/>
    <w:rsid w:val="00CA4E1C"/>
    <w:rsid w:val="00CA4FC2"/>
    <w:rsid w:val="00CA531A"/>
    <w:rsid w:val="00CA54D4"/>
    <w:rsid w:val="00CA5FD1"/>
    <w:rsid w:val="00CA752A"/>
    <w:rsid w:val="00CB0613"/>
    <w:rsid w:val="00CB071C"/>
    <w:rsid w:val="00CB0E4E"/>
    <w:rsid w:val="00CB0F05"/>
    <w:rsid w:val="00CB1A3A"/>
    <w:rsid w:val="00CB304B"/>
    <w:rsid w:val="00CB40DB"/>
    <w:rsid w:val="00CB41FF"/>
    <w:rsid w:val="00CB42D0"/>
    <w:rsid w:val="00CB46A3"/>
    <w:rsid w:val="00CB4BEA"/>
    <w:rsid w:val="00CB6EDD"/>
    <w:rsid w:val="00CB7F96"/>
    <w:rsid w:val="00CC1E9E"/>
    <w:rsid w:val="00CC212F"/>
    <w:rsid w:val="00CC2469"/>
    <w:rsid w:val="00CC2827"/>
    <w:rsid w:val="00CC2C62"/>
    <w:rsid w:val="00CC2CC2"/>
    <w:rsid w:val="00CC3E48"/>
    <w:rsid w:val="00CC3F96"/>
    <w:rsid w:val="00CC4658"/>
    <w:rsid w:val="00CC49FF"/>
    <w:rsid w:val="00CC4DAA"/>
    <w:rsid w:val="00CC601C"/>
    <w:rsid w:val="00CC61E2"/>
    <w:rsid w:val="00CC6924"/>
    <w:rsid w:val="00CD0445"/>
    <w:rsid w:val="00CD060E"/>
    <w:rsid w:val="00CD1052"/>
    <w:rsid w:val="00CD107C"/>
    <w:rsid w:val="00CD10D5"/>
    <w:rsid w:val="00CD2188"/>
    <w:rsid w:val="00CD23E3"/>
    <w:rsid w:val="00CD2A89"/>
    <w:rsid w:val="00CD2C25"/>
    <w:rsid w:val="00CD3848"/>
    <w:rsid w:val="00CD38C9"/>
    <w:rsid w:val="00CD3F6C"/>
    <w:rsid w:val="00CD4447"/>
    <w:rsid w:val="00CD4819"/>
    <w:rsid w:val="00CD5E55"/>
    <w:rsid w:val="00CD6189"/>
    <w:rsid w:val="00CD71C9"/>
    <w:rsid w:val="00CE05F2"/>
    <w:rsid w:val="00CE083F"/>
    <w:rsid w:val="00CE0D51"/>
    <w:rsid w:val="00CE0F85"/>
    <w:rsid w:val="00CE15D6"/>
    <w:rsid w:val="00CE1B94"/>
    <w:rsid w:val="00CE1BA7"/>
    <w:rsid w:val="00CE21FE"/>
    <w:rsid w:val="00CE229B"/>
    <w:rsid w:val="00CE2539"/>
    <w:rsid w:val="00CE2E71"/>
    <w:rsid w:val="00CE34DC"/>
    <w:rsid w:val="00CE430A"/>
    <w:rsid w:val="00CE4D0E"/>
    <w:rsid w:val="00CE572B"/>
    <w:rsid w:val="00CE5BB2"/>
    <w:rsid w:val="00CE5D29"/>
    <w:rsid w:val="00CE5F66"/>
    <w:rsid w:val="00CE628D"/>
    <w:rsid w:val="00CE7308"/>
    <w:rsid w:val="00CE7A51"/>
    <w:rsid w:val="00CF15C3"/>
    <w:rsid w:val="00CF1985"/>
    <w:rsid w:val="00CF1B22"/>
    <w:rsid w:val="00CF1C9C"/>
    <w:rsid w:val="00CF2A20"/>
    <w:rsid w:val="00CF42ED"/>
    <w:rsid w:val="00CF4871"/>
    <w:rsid w:val="00CF4946"/>
    <w:rsid w:val="00CF4AB5"/>
    <w:rsid w:val="00CF53B9"/>
    <w:rsid w:val="00CF5557"/>
    <w:rsid w:val="00CF5610"/>
    <w:rsid w:val="00CF583F"/>
    <w:rsid w:val="00CF61A8"/>
    <w:rsid w:val="00CF6596"/>
    <w:rsid w:val="00CF6782"/>
    <w:rsid w:val="00CF67BC"/>
    <w:rsid w:val="00CF6CCB"/>
    <w:rsid w:val="00CF70A9"/>
    <w:rsid w:val="00CF7452"/>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51F7"/>
    <w:rsid w:val="00D16101"/>
    <w:rsid w:val="00D16644"/>
    <w:rsid w:val="00D16BDC"/>
    <w:rsid w:val="00D17295"/>
    <w:rsid w:val="00D17ABE"/>
    <w:rsid w:val="00D20127"/>
    <w:rsid w:val="00D20230"/>
    <w:rsid w:val="00D2112A"/>
    <w:rsid w:val="00D222F9"/>
    <w:rsid w:val="00D226A0"/>
    <w:rsid w:val="00D22875"/>
    <w:rsid w:val="00D228CF"/>
    <w:rsid w:val="00D229DE"/>
    <w:rsid w:val="00D23BA6"/>
    <w:rsid w:val="00D23DBA"/>
    <w:rsid w:val="00D2441A"/>
    <w:rsid w:val="00D24E4F"/>
    <w:rsid w:val="00D24E68"/>
    <w:rsid w:val="00D2540B"/>
    <w:rsid w:val="00D2674D"/>
    <w:rsid w:val="00D268A3"/>
    <w:rsid w:val="00D271E5"/>
    <w:rsid w:val="00D27D99"/>
    <w:rsid w:val="00D313A0"/>
    <w:rsid w:val="00D31FA1"/>
    <w:rsid w:val="00D333C9"/>
    <w:rsid w:val="00D3344B"/>
    <w:rsid w:val="00D3367D"/>
    <w:rsid w:val="00D33963"/>
    <w:rsid w:val="00D33B69"/>
    <w:rsid w:val="00D34EF7"/>
    <w:rsid w:val="00D34FD4"/>
    <w:rsid w:val="00D37596"/>
    <w:rsid w:val="00D37602"/>
    <w:rsid w:val="00D3762C"/>
    <w:rsid w:val="00D37E73"/>
    <w:rsid w:val="00D40065"/>
    <w:rsid w:val="00D40762"/>
    <w:rsid w:val="00D40E4B"/>
    <w:rsid w:val="00D41048"/>
    <w:rsid w:val="00D411FE"/>
    <w:rsid w:val="00D422FF"/>
    <w:rsid w:val="00D42D6A"/>
    <w:rsid w:val="00D430CE"/>
    <w:rsid w:val="00D431E1"/>
    <w:rsid w:val="00D436D3"/>
    <w:rsid w:val="00D438E1"/>
    <w:rsid w:val="00D439B6"/>
    <w:rsid w:val="00D439E1"/>
    <w:rsid w:val="00D43C2E"/>
    <w:rsid w:val="00D4423E"/>
    <w:rsid w:val="00D45547"/>
    <w:rsid w:val="00D460A8"/>
    <w:rsid w:val="00D46412"/>
    <w:rsid w:val="00D46BE2"/>
    <w:rsid w:val="00D47651"/>
    <w:rsid w:val="00D47C83"/>
    <w:rsid w:val="00D47D7E"/>
    <w:rsid w:val="00D5012A"/>
    <w:rsid w:val="00D50471"/>
    <w:rsid w:val="00D51DBE"/>
    <w:rsid w:val="00D51E6F"/>
    <w:rsid w:val="00D52B7C"/>
    <w:rsid w:val="00D53348"/>
    <w:rsid w:val="00D5344C"/>
    <w:rsid w:val="00D53A22"/>
    <w:rsid w:val="00D53F07"/>
    <w:rsid w:val="00D541BE"/>
    <w:rsid w:val="00D545B5"/>
    <w:rsid w:val="00D54B93"/>
    <w:rsid w:val="00D557F4"/>
    <w:rsid w:val="00D559CC"/>
    <w:rsid w:val="00D55BDD"/>
    <w:rsid w:val="00D572B9"/>
    <w:rsid w:val="00D57401"/>
    <w:rsid w:val="00D576CB"/>
    <w:rsid w:val="00D577DD"/>
    <w:rsid w:val="00D57B45"/>
    <w:rsid w:val="00D600C2"/>
    <w:rsid w:val="00D603FF"/>
    <w:rsid w:val="00D60567"/>
    <w:rsid w:val="00D60866"/>
    <w:rsid w:val="00D61E0A"/>
    <w:rsid w:val="00D62356"/>
    <w:rsid w:val="00D626E1"/>
    <w:rsid w:val="00D628F8"/>
    <w:rsid w:val="00D62D92"/>
    <w:rsid w:val="00D62DBB"/>
    <w:rsid w:val="00D630C3"/>
    <w:rsid w:val="00D634F1"/>
    <w:rsid w:val="00D63B59"/>
    <w:rsid w:val="00D63C3F"/>
    <w:rsid w:val="00D63DCF"/>
    <w:rsid w:val="00D63FF3"/>
    <w:rsid w:val="00D64544"/>
    <w:rsid w:val="00D64853"/>
    <w:rsid w:val="00D650BC"/>
    <w:rsid w:val="00D65641"/>
    <w:rsid w:val="00D66E01"/>
    <w:rsid w:val="00D672DD"/>
    <w:rsid w:val="00D674AE"/>
    <w:rsid w:val="00D67DB1"/>
    <w:rsid w:val="00D705BD"/>
    <w:rsid w:val="00D707DD"/>
    <w:rsid w:val="00D7210D"/>
    <w:rsid w:val="00D726EE"/>
    <w:rsid w:val="00D731B2"/>
    <w:rsid w:val="00D73592"/>
    <w:rsid w:val="00D736DA"/>
    <w:rsid w:val="00D74062"/>
    <w:rsid w:val="00D7430D"/>
    <w:rsid w:val="00D74663"/>
    <w:rsid w:val="00D74BED"/>
    <w:rsid w:val="00D74F41"/>
    <w:rsid w:val="00D75C1F"/>
    <w:rsid w:val="00D75E09"/>
    <w:rsid w:val="00D75E85"/>
    <w:rsid w:val="00D75F1F"/>
    <w:rsid w:val="00D762FA"/>
    <w:rsid w:val="00D7738B"/>
    <w:rsid w:val="00D77C05"/>
    <w:rsid w:val="00D80055"/>
    <w:rsid w:val="00D80837"/>
    <w:rsid w:val="00D80B13"/>
    <w:rsid w:val="00D80B89"/>
    <w:rsid w:val="00D81519"/>
    <w:rsid w:val="00D82BC7"/>
    <w:rsid w:val="00D82D71"/>
    <w:rsid w:val="00D839E6"/>
    <w:rsid w:val="00D84139"/>
    <w:rsid w:val="00D84543"/>
    <w:rsid w:val="00D84E4A"/>
    <w:rsid w:val="00D8585C"/>
    <w:rsid w:val="00D85D7C"/>
    <w:rsid w:val="00D85E87"/>
    <w:rsid w:val="00D87724"/>
    <w:rsid w:val="00D87782"/>
    <w:rsid w:val="00D87849"/>
    <w:rsid w:val="00D87B62"/>
    <w:rsid w:val="00D9103F"/>
    <w:rsid w:val="00D924BB"/>
    <w:rsid w:val="00D927FE"/>
    <w:rsid w:val="00D92CAF"/>
    <w:rsid w:val="00D936AE"/>
    <w:rsid w:val="00D95698"/>
    <w:rsid w:val="00D95982"/>
    <w:rsid w:val="00D95D7E"/>
    <w:rsid w:val="00D96EBC"/>
    <w:rsid w:val="00D97A92"/>
    <w:rsid w:val="00D97BCA"/>
    <w:rsid w:val="00D97EAB"/>
    <w:rsid w:val="00D97F40"/>
    <w:rsid w:val="00DA009B"/>
    <w:rsid w:val="00DA03FD"/>
    <w:rsid w:val="00DA0F41"/>
    <w:rsid w:val="00DA1191"/>
    <w:rsid w:val="00DA14FA"/>
    <w:rsid w:val="00DA300F"/>
    <w:rsid w:val="00DA3A62"/>
    <w:rsid w:val="00DA5168"/>
    <w:rsid w:val="00DA53AC"/>
    <w:rsid w:val="00DA53D5"/>
    <w:rsid w:val="00DA5911"/>
    <w:rsid w:val="00DA5EB7"/>
    <w:rsid w:val="00DA64D5"/>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2E08"/>
    <w:rsid w:val="00DB33A5"/>
    <w:rsid w:val="00DB398E"/>
    <w:rsid w:val="00DB3C12"/>
    <w:rsid w:val="00DB3D65"/>
    <w:rsid w:val="00DB4127"/>
    <w:rsid w:val="00DB42A1"/>
    <w:rsid w:val="00DB653A"/>
    <w:rsid w:val="00DB7960"/>
    <w:rsid w:val="00DC02A3"/>
    <w:rsid w:val="00DC0491"/>
    <w:rsid w:val="00DC057A"/>
    <w:rsid w:val="00DC0C7F"/>
    <w:rsid w:val="00DC0ED8"/>
    <w:rsid w:val="00DC1A47"/>
    <w:rsid w:val="00DC1F36"/>
    <w:rsid w:val="00DC2163"/>
    <w:rsid w:val="00DC2AAB"/>
    <w:rsid w:val="00DC2F23"/>
    <w:rsid w:val="00DC37CD"/>
    <w:rsid w:val="00DC4115"/>
    <w:rsid w:val="00DC4329"/>
    <w:rsid w:val="00DC4556"/>
    <w:rsid w:val="00DC4CB9"/>
    <w:rsid w:val="00DC5BE4"/>
    <w:rsid w:val="00DC690A"/>
    <w:rsid w:val="00DC6F12"/>
    <w:rsid w:val="00DC775C"/>
    <w:rsid w:val="00DC78A4"/>
    <w:rsid w:val="00DC7B92"/>
    <w:rsid w:val="00DC7BD1"/>
    <w:rsid w:val="00DD0731"/>
    <w:rsid w:val="00DD0F4B"/>
    <w:rsid w:val="00DD152A"/>
    <w:rsid w:val="00DD1C14"/>
    <w:rsid w:val="00DD2F3B"/>
    <w:rsid w:val="00DD3770"/>
    <w:rsid w:val="00DD39B8"/>
    <w:rsid w:val="00DD43D0"/>
    <w:rsid w:val="00DD4B3A"/>
    <w:rsid w:val="00DD56A3"/>
    <w:rsid w:val="00DD5A9A"/>
    <w:rsid w:val="00DD5CB8"/>
    <w:rsid w:val="00DD6071"/>
    <w:rsid w:val="00DD63A9"/>
    <w:rsid w:val="00DD63DD"/>
    <w:rsid w:val="00DD645E"/>
    <w:rsid w:val="00DD6F4C"/>
    <w:rsid w:val="00DD73E6"/>
    <w:rsid w:val="00DD79D0"/>
    <w:rsid w:val="00DE11D1"/>
    <w:rsid w:val="00DE1C93"/>
    <w:rsid w:val="00DE28B8"/>
    <w:rsid w:val="00DE3456"/>
    <w:rsid w:val="00DE40FE"/>
    <w:rsid w:val="00DE4144"/>
    <w:rsid w:val="00DE5700"/>
    <w:rsid w:val="00DE5A67"/>
    <w:rsid w:val="00DE6164"/>
    <w:rsid w:val="00DE61F3"/>
    <w:rsid w:val="00DE77E5"/>
    <w:rsid w:val="00DE7824"/>
    <w:rsid w:val="00DF012D"/>
    <w:rsid w:val="00DF0879"/>
    <w:rsid w:val="00DF0AA3"/>
    <w:rsid w:val="00DF0C6A"/>
    <w:rsid w:val="00DF0F1D"/>
    <w:rsid w:val="00DF11E3"/>
    <w:rsid w:val="00DF16B0"/>
    <w:rsid w:val="00DF16F4"/>
    <w:rsid w:val="00DF1BFC"/>
    <w:rsid w:val="00DF25FA"/>
    <w:rsid w:val="00DF2AEB"/>
    <w:rsid w:val="00DF2CD7"/>
    <w:rsid w:val="00DF2FC3"/>
    <w:rsid w:val="00DF308A"/>
    <w:rsid w:val="00DF3427"/>
    <w:rsid w:val="00DF38C5"/>
    <w:rsid w:val="00DF4777"/>
    <w:rsid w:val="00DF4CB0"/>
    <w:rsid w:val="00DF4FEF"/>
    <w:rsid w:val="00DF5110"/>
    <w:rsid w:val="00DF516E"/>
    <w:rsid w:val="00DF5AD7"/>
    <w:rsid w:val="00DF5BAE"/>
    <w:rsid w:val="00DF628C"/>
    <w:rsid w:val="00DF6BEF"/>
    <w:rsid w:val="00DF6CDC"/>
    <w:rsid w:val="00DF74E8"/>
    <w:rsid w:val="00DF779E"/>
    <w:rsid w:val="00E00CEE"/>
    <w:rsid w:val="00E01ADF"/>
    <w:rsid w:val="00E02610"/>
    <w:rsid w:val="00E039C2"/>
    <w:rsid w:val="00E040F8"/>
    <w:rsid w:val="00E0525F"/>
    <w:rsid w:val="00E06723"/>
    <w:rsid w:val="00E06973"/>
    <w:rsid w:val="00E06C0A"/>
    <w:rsid w:val="00E072C1"/>
    <w:rsid w:val="00E07D7F"/>
    <w:rsid w:val="00E07D8A"/>
    <w:rsid w:val="00E10643"/>
    <w:rsid w:val="00E1249C"/>
    <w:rsid w:val="00E12591"/>
    <w:rsid w:val="00E12F2F"/>
    <w:rsid w:val="00E142FE"/>
    <w:rsid w:val="00E16307"/>
    <w:rsid w:val="00E16382"/>
    <w:rsid w:val="00E16FF8"/>
    <w:rsid w:val="00E17227"/>
    <w:rsid w:val="00E1790C"/>
    <w:rsid w:val="00E2049F"/>
    <w:rsid w:val="00E21245"/>
    <w:rsid w:val="00E21315"/>
    <w:rsid w:val="00E228B3"/>
    <w:rsid w:val="00E22B14"/>
    <w:rsid w:val="00E22B61"/>
    <w:rsid w:val="00E2368E"/>
    <w:rsid w:val="00E23A2D"/>
    <w:rsid w:val="00E23F4D"/>
    <w:rsid w:val="00E240B5"/>
    <w:rsid w:val="00E2433C"/>
    <w:rsid w:val="00E24D2A"/>
    <w:rsid w:val="00E24F0C"/>
    <w:rsid w:val="00E25700"/>
    <w:rsid w:val="00E26264"/>
    <w:rsid w:val="00E263BC"/>
    <w:rsid w:val="00E26569"/>
    <w:rsid w:val="00E265BD"/>
    <w:rsid w:val="00E26773"/>
    <w:rsid w:val="00E26915"/>
    <w:rsid w:val="00E270B6"/>
    <w:rsid w:val="00E2762A"/>
    <w:rsid w:val="00E278F6"/>
    <w:rsid w:val="00E279F5"/>
    <w:rsid w:val="00E27AE1"/>
    <w:rsid w:val="00E3022E"/>
    <w:rsid w:val="00E3087C"/>
    <w:rsid w:val="00E313A3"/>
    <w:rsid w:val="00E31424"/>
    <w:rsid w:val="00E318BC"/>
    <w:rsid w:val="00E31A0C"/>
    <w:rsid w:val="00E32141"/>
    <w:rsid w:val="00E32585"/>
    <w:rsid w:val="00E32A31"/>
    <w:rsid w:val="00E32FBC"/>
    <w:rsid w:val="00E331A2"/>
    <w:rsid w:val="00E332CC"/>
    <w:rsid w:val="00E33AEC"/>
    <w:rsid w:val="00E34105"/>
    <w:rsid w:val="00E34991"/>
    <w:rsid w:val="00E34DA7"/>
    <w:rsid w:val="00E34EDA"/>
    <w:rsid w:val="00E360B7"/>
    <w:rsid w:val="00E36430"/>
    <w:rsid w:val="00E37302"/>
    <w:rsid w:val="00E37746"/>
    <w:rsid w:val="00E37A8D"/>
    <w:rsid w:val="00E37B62"/>
    <w:rsid w:val="00E37E4A"/>
    <w:rsid w:val="00E400ED"/>
    <w:rsid w:val="00E418A0"/>
    <w:rsid w:val="00E41D55"/>
    <w:rsid w:val="00E41FB5"/>
    <w:rsid w:val="00E434C1"/>
    <w:rsid w:val="00E43C8F"/>
    <w:rsid w:val="00E43D1D"/>
    <w:rsid w:val="00E44196"/>
    <w:rsid w:val="00E449DD"/>
    <w:rsid w:val="00E44B31"/>
    <w:rsid w:val="00E454D9"/>
    <w:rsid w:val="00E45919"/>
    <w:rsid w:val="00E45DB8"/>
    <w:rsid w:val="00E45EB8"/>
    <w:rsid w:val="00E46258"/>
    <w:rsid w:val="00E46482"/>
    <w:rsid w:val="00E47BD3"/>
    <w:rsid w:val="00E50BAD"/>
    <w:rsid w:val="00E50C8B"/>
    <w:rsid w:val="00E510CE"/>
    <w:rsid w:val="00E51518"/>
    <w:rsid w:val="00E51543"/>
    <w:rsid w:val="00E51915"/>
    <w:rsid w:val="00E51A52"/>
    <w:rsid w:val="00E54141"/>
    <w:rsid w:val="00E55AAB"/>
    <w:rsid w:val="00E55D8A"/>
    <w:rsid w:val="00E5614A"/>
    <w:rsid w:val="00E561C6"/>
    <w:rsid w:val="00E56B10"/>
    <w:rsid w:val="00E571B0"/>
    <w:rsid w:val="00E572B0"/>
    <w:rsid w:val="00E601A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214B"/>
    <w:rsid w:val="00E73C44"/>
    <w:rsid w:val="00E74744"/>
    <w:rsid w:val="00E75707"/>
    <w:rsid w:val="00E75B57"/>
    <w:rsid w:val="00E75D4C"/>
    <w:rsid w:val="00E762C6"/>
    <w:rsid w:val="00E76410"/>
    <w:rsid w:val="00E7654F"/>
    <w:rsid w:val="00E765DA"/>
    <w:rsid w:val="00E767A7"/>
    <w:rsid w:val="00E77CF8"/>
    <w:rsid w:val="00E77F9A"/>
    <w:rsid w:val="00E80347"/>
    <w:rsid w:val="00E8040A"/>
    <w:rsid w:val="00E80B86"/>
    <w:rsid w:val="00E814A0"/>
    <w:rsid w:val="00E81C17"/>
    <w:rsid w:val="00E81D73"/>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4A4F"/>
    <w:rsid w:val="00E95477"/>
    <w:rsid w:val="00E962F8"/>
    <w:rsid w:val="00E96D54"/>
    <w:rsid w:val="00E96DAC"/>
    <w:rsid w:val="00E97321"/>
    <w:rsid w:val="00EA06D0"/>
    <w:rsid w:val="00EA153A"/>
    <w:rsid w:val="00EA23F4"/>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B7F68"/>
    <w:rsid w:val="00EC04A4"/>
    <w:rsid w:val="00EC0FDD"/>
    <w:rsid w:val="00EC13BE"/>
    <w:rsid w:val="00EC16DE"/>
    <w:rsid w:val="00EC18C0"/>
    <w:rsid w:val="00EC1BA2"/>
    <w:rsid w:val="00EC1CE3"/>
    <w:rsid w:val="00EC265A"/>
    <w:rsid w:val="00EC2826"/>
    <w:rsid w:val="00EC289F"/>
    <w:rsid w:val="00EC3114"/>
    <w:rsid w:val="00EC3316"/>
    <w:rsid w:val="00EC4948"/>
    <w:rsid w:val="00EC543A"/>
    <w:rsid w:val="00EC5933"/>
    <w:rsid w:val="00EC5C40"/>
    <w:rsid w:val="00EC6CCD"/>
    <w:rsid w:val="00EC76F7"/>
    <w:rsid w:val="00ED0040"/>
    <w:rsid w:val="00ED0161"/>
    <w:rsid w:val="00ED0DEA"/>
    <w:rsid w:val="00ED19A9"/>
    <w:rsid w:val="00ED286E"/>
    <w:rsid w:val="00ED2991"/>
    <w:rsid w:val="00ED36BD"/>
    <w:rsid w:val="00ED44C2"/>
    <w:rsid w:val="00ED5218"/>
    <w:rsid w:val="00ED59A1"/>
    <w:rsid w:val="00ED5C4B"/>
    <w:rsid w:val="00ED6955"/>
    <w:rsid w:val="00ED738E"/>
    <w:rsid w:val="00EE0D68"/>
    <w:rsid w:val="00EE0DD3"/>
    <w:rsid w:val="00EE10A4"/>
    <w:rsid w:val="00EE11AD"/>
    <w:rsid w:val="00EE18EC"/>
    <w:rsid w:val="00EE2FF1"/>
    <w:rsid w:val="00EE3B8A"/>
    <w:rsid w:val="00EE3D25"/>
    <w:rsid w:val="00EE4175"/>
    <w:rsid w:val="00EE5A6C"/>
    <w:rsid w:val="00EE5B91"/>
    <w:rsid w:val="00EE5CAD"/>
    <w:rsid w:val="00EE6637"/>
    <w:rsid w:val="00EE6AB2"/>
    <w:rsid w:val="00EE712F"/>
    <w:rsid w:val="00EE737E"/>
    <w:rsid w:val="00EE7D17"/>
    <w:rsid w:val="00EF199B"/>
    <w:rsid w:val="00EF1D7F"/>
    <w:rsid w:val="00EF2FEA"/>
    <w:rsid w:val="00EF303C"/>
    <w:rsid w:val="00EF3221"/>
    <w:rsid w:val="00EF38BD"/>
    <w:rsid w:val="00EF4310"/>
    <w:rsid w:val="00EF48C7"/>
    <w:rsid w:val="00F00159"/>
    <w:rsid w:val="00F001C1"/>
    <w:rsid w:val="00F002A3"/>
    <w:rsid w:val="00F00C09"/>
    <w:rsid w:val="00F019DD"/>
    <w:rsid w:val="00F026E3"/>
    <w:rsid w:val="00F03753"/>
    <w:rsid w:val="00F0378E"/>
    <w:rsid w:val="00F03EAD"/>
    <w:rsid w:val="00F04983"/>
    <w:rsid w:val="00F05996"/>
    <w:rsid w:val="00F05A19"/>
    <w:rsid w:val="00F05AA5"/>
    <w:rsid w:val="00F064F9"/>
    <w:rsid w:val="00F07587"/>
    <w:rsid w:val="00F076DE"/>
    <w:rsid w:val="00F07A1E"/>
    <w:rsid w:val="00F07EBC"/>
    <w:rsid w:val="00F10972"/>
    <w:rsid w:val="00F10E94"/>
    <w:rsid w:val="00F112F1"/>
    <w:rsid w:val="00F117C2"/>
    <w:rsid w:val="00F123DA"/>
    <w:rsid w:val="00F12A41"/>
    <w:rsid w:val="00F12AF3"/>
    <w:rsid w:val="00F13941"/>
    <w:rsid w:val="00F14405"/>
    <w:rsid w:val="00F1445F"/>
    <w:rsid w:val="00F145DF"/>
    <w:rsid w:val="00F14997"/>
    <w:rsid w:val="00F1521E"/>
    <w:rsid w:val="00F15557"/>
    <w:rsid w:val="00F170ED"/>
    <w:rsid w:val="00F176B7"/>
    <w:rsid w:val="00F17D32"/>
    <w:rsid w:val="00F20579"/>
    <w:rsid w:val="00F20859"/>
    <w:rsid w:val="00F20F66"/>
    <w:rsid w:val="00F21940"/>
    <w:rsid w:val="00F2286E"/>
    <w:rsid w:val="00F22D00"/>
    <w:rsid w:val="00F22FBA"/>
    <w:rsid w:val="00F237F2"/>
    <w:rsid w:val="00F2403B"/>
    <w:rsid w:val="00F24735"/>
    <w:rsid w:val="00F251D8"/>
    <w:rsid w:val="00F2551F"/>
    <w:rsid w:val="00F25C21"/>
    <w:rsid w:val="00F26065"/>
    <w:rsid w:val="00F266F9"/>
    <w:rsid w:val="00F270C3"/>
    <w:rsid w:val="00F2757C"/>
    <w:rsid w:val="00F2798A"/>
    <w:rsid w:val="00F30417"/>
    <w:rsid w:val="00F30BF5"/>
    <w:rsid w:val="00F30DC9"/>
    <w:rsid w:val="00F315FA"/>
    <w:rsid w:val="00F31E61"/>
    <w:rsid w:val="00F32581"/>
    <w:rsid w:val="00F32807"/>
    <w:rsid w:val="00F32B51"/>
    <w:rsid w:val="00F32E40"/>
    <w:rsid w:val="00F3372A"/>
    <w:rsid w:val="00F33F03"/>
    <w:rsid w:val="00F341BA"/>
    <w:rsid w:val="00F34378"/>
    <w:rsid w:val="00F34480"/>
    <w:rsid w:val="00F34626"/>
    <w:rsid w:val="00F3510C"/>
    <w:rsid w:val="00F3612E"/>
    <w:rsid w:val="00F36187"/>
    <w:rsid w:val="00F362F6"/>
    <w:rsid w:val="00F366C7"/>
    <w:rsid w:val="00F367AF"/>
    <w:rsid w:val="00F367CA"/>
    <w:rsid w:val="00F369FB"/>
    <w:rsid w:val="00F3736F"/>
    <w:rsid w:val="00F400D1"/>
    <w:rsid w:val="00F40715"/>
    <w:rsid w:val="00F4087C"/>
    <w:rsid w:val="00F4129E"/>
    <w:rsid w:val="00F41311"/>
    <w:rsid w:val="00F414D8"/>
    <w:rsid w:val="00F41C12"/>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9C5"/>
    <w:rsid w:val="00F51C2D"/>
    <w:rsid w:val="00F52868"/>
    <w:rsid w:val="00F53BE5"/>
    <w:rsid w:val="00F541E4"/>
    <w:rsid w:val="00F5468E"/>
    <w:rsid w:val="00F54935"/>
    <w:rsid w:val="00F54DD4"/>
    <w:rsid w:val="00F55954"/>
    <w:rsid w:val="00F55CB3"/>
    <w:rsid w:val="00F56C09"/>
    <w:rsid w:val="00F57B2B"/>
    <w:rsid w:val="00F60493"/>
    <w:rsid w:val="00F60920"/>
    <w:rsid w:val="00F61FAC"/>
    <w:rsid w:val="00F62921"/>
    <w:rsid w:val="00F62DE2"/>
    <w:rsid w:val="00F64357"/>
    <w:rsid w:val="00F64787"/>
    <w:rsid w:val="00F64EDB"/>
    <w:rsid w:val="00F65A8D"/>
    <w:rsid w:val="00F660E2"/>
    <w:rsid w:val="00F663D9"/>
    <w:rsid w:val="00F66499"/>
    <w:rsid w:val="00F67364"/>
    <w:rsid w:val="00F6747A"/>
    <w:rsid w:val="00F70006"/>
    <w:rsid w:val="00F703DD"/>
    <w:rsid w:val="00F71058"/>
    <w:rsid w:val="00F71865"/>
    <w:rsid w:val="00F71D8E"/>
    <w:rsid w:val="00F72203"/>
    <w:rsid w:val="00F728C0"/>
    <w:rsid w:val="00F72C62"/>
    <w:rsid w:val="00F72DCF"/>
    <w:rsid w:val="00F73588"/>
    <w:rsid w:val="00F73619"/>
    <w:rsid w:val="00F73B7E"/>
    <w:rsid w:val="00F749EC"/>
    <w:rsid w:val="00F77167"/>
    <w:rsid w:val="00F80204"/>
    <w:rsid w:val="00F80723"/>
    <w:rsid w:val="00F81119"/>
    <w:rsid w:val="00F8141B"/>
    <w:rsid w:val="00F81C53"/>
    <w:rsid w:val="00F820E8"/>
    <w:rsid w:val="00F82737"/>
    <w:rsid w:val="00F82C50"/>
    <w:rsid w:val="00F838C9"/>
    <w:rsid w:val="00F839F6"/>
    <w:rsid w:val="00F840E1"/>
    <w:rsid w:val="00F840EE"/>
    <w:rsid w:val="00F8416D"/>
    <w:rsid w:val="00F8463D"/>
    <w:rsid w:val="00F84B72"/>
    <w:rsid w:val="00F85233"/>
    <w:rsid w:val="00F87011"/>
    <w:rsid w:val="00F87AD3"/>
    <w:rsid w:val="00F87EE7"/>
    <w:rsid w:val="00F90ACB"/>
    <w:rsid w:val="00F915FC"/>
    <w:rsid w:val="00F919F7"/>
    <w:rsid w:val="00F91D33"/>
    <w:rsid w:val="00F92774"/>
    <w:rsid w:val="00F92ECE"/>
    <w:rsid w:val="00F92F2E"/>
    <w:rsid w:val="00F9363F"/>
    <w:rsid w:val="00F93ACE"/>
    <w:rsid w:val="00F94049"/>
    <w:rsid w:val="00F94C9A"/>
    <w:rsid w:val="00F94CBD"/>
    <w:rsid w:val="00F96D06"/>
    <w:rsid w:val="00F976CC"/>
    <w:rsid w:val="00F97731"/>
    <w:rsid w:val="00F97944"/>
    <w:rsid w:val="00FA11E4"/>
    <w:rsid w:val="00FA1646"/>
    <w:rsid w:val="00FA2416"/>
    <w:rsid w:val="00FA2543"/>
    <w:rsid w:val="00FA2823"/>
    <w:rsid w:val="00FA324A"/>
    <w:rsid w:val="00FA33FA"/>
    <w:rsid w:val="00FA38F0"/>
    <w:rsid w:val="00FA3C90"/>
    <w:rsid w:val="00FA4EB5"/>
    <w:rsid w:val="00FA564E"/>
    <w:rsid w:val="00FA5AB4"/>
    <w:rsid w:val="00FA5BCB"/>
    <w:rsid w:val="00FA637E"/>
    <w:rsid w:val="00FA681C"/>
    <w:rsid w:val="00FA6BE0"/>
    <w:rsid w:val="00FA6CE3"/>
    <w:rsid w:val="00FB00C9"/>
    <w:rsid w:val="00FB084B"/>
    <w:rsid w:val="00FB0C32"/>
    <w:rsid w:val="00FB0E87"/>
    <w:rsid w:val="00FB133A"/>
    <w:rsid w:val="00FB2B91"/>
    <w:rsid w:val="00FB2B99"/>
    <w:rsid w:val="00FB39BF"/>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488D"/>
    <w:rsid w:val="00FC50CD"/>
    <w:rsid w:val="00FC5285"/>
    <w:rsid w:val="00FC54C0"/>
    <w:rsid w:val="00FC6277"/>
    <w:rsid w:val="00FC6604"/>
    <w:rsid w:val="00FC67F7"/>
    <w:rsid w:val="00FC6C36"/>
    <w:rsid w:val="00FC6E31"/>
    <w:rsid w:val="00FC6F6A"/>
    <w:rsid w:val="00FC703D"/>
    <w:rsid w:val="00FC7245"/>
    <w:rsid w:val="00FC7426"/>
    <w:rsid w:val="00FC7C4F"/>
    <w:rsid w:val="00FD0107"/>
    <w:rsid w:val="00FD04BB"/>
    <w:rsid w:val="00FD1490"/>
    <w:rsid w:val="00FD15A7"/>
    <w:rsid w:val="00FD1891"/>
    <w:rsid w:val="00FD1BE0"/>
    <w:rsid w:val="00FD2EC3"/>
    <w:rsid w:val="00FD3495"/>
    <w:rsid w:val="00FD3BC6"/>
    <w:rsid w:val="00FD425B"/>
    <w:rsid w:val="00FD4A11"/>
    <w:rsid w:val="00FD4E1E"/>
    <w:rsid w:val="00FD570D"/>
    <w:rsid w:val="00FD5D3B"/>
    <w:rsid w:val="00FD6371"/>
    <w:rsid w:val="00FD63B6"/>
    <w:rsid w:val="00FD6708"/>
    <w:rsid w:val="00FE0725"/>
    <w:rsid w:val="00FE08A4"/>
    <w:rsid w:val="00FE131C"/>
    <w:rsid w:val="00FE1784"/>
    <w:rsid w:val="00FE18D3"/>
    <w:rsid w:val="00FE1AF4"/>
    <w:rsid w:val="00FE35C3"/>
    <w:rsid w:val="00FE3831"/>
    <w:rsid w:val="00FE3D94"/>
    <w:rsid w:val="00FE4E18"/>
    <w:rsid w:val="00FE54C1"/>
    <w:rsid w:val="00FE5EF4"/>
    <w:rsid w:val="00FE5F32"/>
    <w:rsid w:val="00FE6573"/>
    <w:rsid w:val="00FE6869"/>
    <w:rsid w:val="00FE6F49"/>
    <w:rsid w:val="00FE75BC"/>
    <w:rsid w:val="00FE7AB5"/>
    <w:rsid w:val="00FE7EB6"/>
    <w:rsid w:val="00FF0B5E"/>
    <w:rsid w:val="00FF0C84"/>
    <w:rsid w:val="00FF0FD0"/>
    <w:rsid w:val="00FF112D"/>
    <w:rsid w:val="00FF1610"/>
    <w:rsid w:val="00FF2425"/>
    <w:rsid w:val="00FF3AA1"/>
    <w:rsid w:val="00FF409D"/>
    <w:rsid w:val="00FF4467"/>
    <w:rsid w:val="00FF472B"/>
    <w:rsid w:val="00FF4C59"/>
    <w:rsid w:val="00FF4D58"/>
    <w:rsid w:val="00FF4D76"/>
    <w:rsid w:val="00FF4F95"/>
    <w:rsid w:val="00FF51AF"/>
    <w:rsid w:val="00FF6158"/>
    <w:rsid w:val="00FF679A"/>
    <w:rsid w:val="00FF7E0D"/>
    <w:rsid w:val="032C58EE"/>
    <w:rsid w:val="0EF37471"/>
    <w:rsid w:val="0EFF20C9"/>
    <w:rsid w:val="2B633814"/>
    <w:rsid w:val="2DE829BE"/>
    <w:rsid w:val="58DA7A2C"/>
    <w:rsid w:val="5C1B1920"/>
    <w:rsid w:val="69DC6848"/>
    <w:rsid w:val="74370E57"/>
    <w:rsid w:val="754F16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qFormat="1" w:unhideWhenUsed="0" w:uiPriority="0" w:semiHidden="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qFormat/>
    <w:uiPriority w:val="0"/>
    <w:pPr>
      <w:keepNext/>
      <w:numPr>
        <w:ilvl w:val="1"/>
        <w:numId w:val="1"/>
      </w:numPr>
      <w:spacing w:before="240" w:after="60"/>
      <w:outlineLvl w:val="1"/>
    </w:pPr>
    <w:rPr>
      <w:rFonts w:ascii="Arial" w:hAnsi="Arial" w:eastAsia="MS Mincho" w:cs="Arial"/>
      <w:b/>
      <w:bCs/>
      <w:iCs/>
      <w:szCs w:val="28"/>
      <w:lang w:eastAsia="zh-CN"/>
    </w:rPr>
  </w:style>
  <w:style w:type="paragraph" w:styleId="5">
    <w:name w:val="heading 3"/>
    <w:basedOn w:val="1"/>
    <w:next w:val="1"/>
    <w:link w:val="41"/>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qFormat/>
    <w:uiPriority w:val="0"/>
    <w:pPr>
      <w:keepNext/>
      <w:keepLines/>
      <w:tabs>
        <w:tab w:val="left" w:pos="1188"/>
      </w:tabs>
      <w:spacing w:before="280" w:after="290" w:line="376" w:lineRule="auto"/>
      <w:ind w:left="851" w:hanging="851"/>
      <w:outlineLvl w:val="4"/>
    </w:pPr>
    <w:rPr>
      <w:b/>
      <w:bCs/>
      <w:sz w:val="28"/>
      <w:szCs w:val="28"/>
    </w:rPr>
  </w:style>
  <w:style w:type="paragraph" w:styleId="8">
    <w:name w:val="heading 6"/>
    <w:basedOn w:val="1"/>
    <w:next w:val="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9">
    <w:name w:val="heading 7"/>
    <w:basedOn w:val="1"/>
    <w:next w:val="1"/>
    <w:qFormat/>
    <w:uiPriority w:val="0"/>
    <w:pPr>
      <w:keepNext/>
      <w:keepLines/>
      <w:tabs>
        <w:tab w:val="left" w:pos="1476"/>
      </w:tabs>
      <w:spacing w:before="240" w:after="64" w:line="320" w:lineRule="auto"/>
      <w:ind w:left="1476" w:hanging="1476"/>
      <w:outlineLvl w:val="6"/>
    </w:pPr>
    <w:rPr>
      <w:b/>
      <w:bCs/>
      <w:sz w:val="24"/>
    </w:rPr>
  </w:style>
  <w:style w:type="paragraph" w:styleId="10">
    <w:name w:val="heading 8"/>
    <w:basedOn w:val="1"/>
    <w:next w:val="1"/>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1">
    <w:name w:val="heading 9"/>
    <w:basedOn w:val="1"/>
    <w:next w:val="1"/>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23">
    <w:name w:val="Default Paragraph Font"/>
    <w:semiHidden/>
    <w:unhideWhenUsed/>
    <w:qFormat/>
    <w:uiPriority w:val="1"/>
  </w:style>
  <w:style w:type="table" w:default="1" w:styleId="26">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link w:val="42"/>
    <w:qFormat/>
    <w:uiPriority w:val="0"/>
    <w:pPr>
      <w:spacing w:after="120"/>
      <w:jc w:val="both"/>
    </w:pPr>
    <w:rPr>
      <w:rFonts w:eastAsia="MS Mincho"/>
    </w:rPr>
  </w:style>
  <w:style w:type="paragraph" w:styleId="12">
    <w:name w:val="annotation subject"/>
    <w:basedOn w:val="13"/>
    <w:next w:val="13"/>
    <w:semiHidden/>
    <w:qFormat/>
    <w:uiPriority w:val="0"/>
    <w:rPr>
      <w:b/>
      <w:bCs/>
    </w:rPr>
  </w:style>
  <w:style w:type="paragraph" w:styleId="13">
    <w:name w:val="annotation text"/>
    <w:basedOn w:val="1"/>
    <w:semiHidden/>
    <w:qFormat/>
    <w:uiPriority w:val="0"/>
  </w:style>
  <w:style w:type="paragraph" w:styleId="14">
    <w:name w:val="caption"/>
    <w:basedOn w:val="1"/>
    <w:next w:val="1"/>
    <w:link w:val="28"/>
    <w:qFormat/>
    <w:uiPriority w:val="0"/>
    <w:pPr>
      <w:overflowPunct w:val="0"/>
      <w:autoSpaceDE w:val="0"/>
      <w:autoSpaceDN w:val="0"/>
      <w:adjustRightInd w:val="0"/>
      <w:spacing w:before="120" w:after="120"/>
      <w:textAlignment w:val="baseline"/>
    </w:pPr>
    <w:rPr>
      <w:szCs w:val="20"/>
      <w:lang w:val="en-GB"/>
    </w:rPr>
  </w:style>
  <w:style w:type="paragraph" w:styleId="15">
    <w:name w:val="Document Map"/>
    <w:basedOn w:val="1"/>
    <w:semiHidden/>
    <w:qFormat/>
    <w:uiPriority w:val="0"/>
    <w:pPr>
      <w:shd w:val="clear" w:color="auto" w:fill="000080"/>
    </w:pPr>
  </w:style>
  <w:style w:type="paragraph" w:styleId="16">
    <w:name w:val="List 2"/>
    <w:basedOn w:val="17"/>
    <w:qFormat/>
    <w:uiPriority w:val="0"/>
    <w:pPr>
      <w:numPr>
        <w:ilvl w:val="0"/>
        <w:numId w:val="2"/>
      </w:numPr>
      <w:spacing w:before="180"/>
    </w:pPr>
    <w:rPr>
      <w:rFonts w:ascii="Arial" w:hAnsi="Arial"/>
      <w:sz w:val="22"/>
      <w:szCs w:val="20"/>
    </w:rPr>
  </w:style>
  <w:style w:type="paragraph" w:styleId="17">
    <w:name w:val="List"/>
    <w:basedOn w:val="1"/>
    <w:qFormat/>
    <w:uiPriority w:val="0"/>
    <w:pPr>
      <w:ind w:left="283" w:hanging="283"/>
    </w:pPr>
  </w:style>
  <w:style w:type="paragraph" w:styleId="18">
    <w:name w:val="toc 8"/>
    <w:basedOn w:val="19"/>
    <w:next w:val="1"/>
    <w:qFormat/>
    <w:uiPriority w:val="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9">
    <w:name w:val="toc 1"/>
    <w:basedOn w:val="1"/>
    <w:next w:val="1"/>
    <w:qFormat/>
    <w:uiPriority w:val="0"/>
  </w:style>
  <w:style w:type="paragraph" w:styleId="20">
    <w:name w:val="Balloon Text"/>
    <w:basedOn w:val="1"/>
    <w:semiHidden/>
    <w:qFormat/>
    <w:uiPriority w:val="0"/>
    <w:rPr>
      <w:sz w:val="18"/>
      <w:szCs w:val="18"/>
    </w:rPr>
  </w:style>
  <w:style w:type="paragraph" w:styleId="21">
    <w:name w:val="footer"/>
    <w:basedOn w:val="1"/>
    <w:qFormat/>
    <w:uiPriority w:val="0"/>
    <w:pPr>
      <w:tabs>
        <w:tab w:val="center" w:pos="4153"/>
        <w:tab w:val="right" w:pos="8306"/>
      </w:tabs>
      <w:snapToGrid w:val="0"/>
    </w:pPr>
    <w:rPr>
      <w:sz w:val="18"/>
      <w:szCs w:val="18"/>
    </w:rPr>
  </w:style>
  <w:style w:type="paragraph" w:styleId="22">
    <w:name w:val="header"/>
    <w:basedOn w:val="1"/>
    <w:link w:val="48"/>
    <w:qFormat/>
    <w:uiPriority w:val="0"/>
    <w:pPr>
      <w:tabs>
        <w:tab w:val="center" w:pos="4536"/>
        <w:tab w:val="right" w:pos="9072"/>
      </w:tabs>
    </w:pPr>
    <w:rPr>
      <w:rFonts w:ascii="Arial" w:hAnsi="Arial" w:eastAsia="MS Mincho"/>
      <w:b/>
    </w:rPr>
  </w:style>
  <w:style w:type="character" w:styleId="24">
    <w:name w:val="Hyperlink"/>
    <w:qFormat/>
    <w:uiPriority w:val="0"/>
    <w:rPr>
      <w:color w:val="0000FF"/>
      <w:u w:val="single"/>
    </w:rPr>
  </w:style>
  <w:style w:type="character" w:styleId="25">
    <w:name w:val="annotation reference"/>
    <w:semiHidden/>
    <w:qFormat/>
    <w:uiPriority w:val="0"/>
    <w:rPr>
      <w:sz w:val="21"/>
      <w:szCs w:val="21"/>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8">
    <w:name w:val="题注 字符"/>
    <w:link w:val="14"/>
    <w:qFormat/>
    <w:uiPriority w:val="0"/>
    <w:rPr>
      <w:lang w:val="en-GB" w:eastAsia="en-US" w:bidi="ar-SA"/>
    </w:rPr>
  </w:style>
  <w:style w:type="paragraph" w:customStyle="1" w:styleId="29">
    <w:name w:val="TAC"/>
    <w:basedOn w:val="1"/>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30">
    <w:name w:val="TAL"/>
    <w:basedOn w:val="1"/>
    <w:qFormat/>
    <w:uiPriority w:val="0"/>
    <w:pPr>
      <w:keepNext/>
      <w:keepLines/>
    </w:pPr>
    <w:rPr>
      <w:rFonts w:ascii="Arial" w:hAnsi="Arial"/>
      <w:sz w:val="18"/>
      <w:szCs w:val="20"/>
      <w:lang w:val="en-GB"/>
    </w:rPr>
  </w:style>
  <w:style w:type="paragraph" w:customStyle="1" w:styleId="31">
    <w:name w:val="TAH"/>
    <w:basedOn w:val="1"/>
    <w:qFormat/>
    <w:uiPriority w:val="0"/>
    <w:pPr>
      <w:keepNext/>
      <w:keepLines/>
      <w:jc w:val="center"/>
    </w:pPr>
    <w:rPr>
      <w:rFonts w:ascii="Arial" w:hAnsi="Arial"/>
      <w:b/>
      <w:sz w:val="18"/>
      <w:szCs w:val="20"/>
      <w:lang w:val="en-GB"/>
    </w:rPr>
  </w:style>
  <w:style w:type="paragraph" w:customStyle="1" w:styleId="32">
    <w:name w:val="TH"/>
    <w:basedOn w:val="1"/>
    <w:link w:val="59"/>
    <w:qFormat/>
    <w:uiPriority w:val="0"/>
    <w:pPr>
      <w:keepNext/>
      <w:keepLines/>
      <w:spacing w:before="60" w:after="180"/>
      <w:jc w:val="center"/>
    </w:pPr>
    <w:rPr>
      <w:rFonts w:ascii="Arial" w:hAnsi="Arial"/>
      <w:b/>
      <w:szCs w:val="20"/>
      <w:lang w:val="en-GB"/>
    </w:rPr>
  </w:style>
  <w:style w:type="paragraph" w:customStyle="1" w:styleId="33">
    <w:name w:val="TF"/>
    <w:basedOn w:val="32"/>
    <w:qFormat/>
    <w:uiPriority w:val="0"/>
    <w:pPr>
      <w:keepNext w:val="0"/>
      <w:spacing w:before="0" w:after="240"/>
    </w:pPr>
  </w:style>
  <w:style w:type="paragraph" w:customStyle="1" w:styleId="34">
    <w:name w:val="Char Char Char Char Char Char Char Char Char Char Char Char Char"/>
    <w:basedOn w:val="15"/>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35">
    <w:name w:val="Char Char1 Char Char"/>
    <w:basedOn w:val="1"/>
    <w:qFormat/>
    <w:uiPriority w:val="0"/>
    <w:rPr>
      <w:rFonts w:ascii="Times" w:hAnsi="Times"/>
      <w:sz w:val="22"/>
      <w:szCs w:val="20"/>
    </w:rPr>
  </w:style>
  <w:style w:type="paragraph" w:customStyle="1" w:styleId="36">
    <w:name w:val="Char Char Char Char Char 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7">
    <w:name w:val="Tdoc_Heading_1"/>
    <w:basedOn w:val="2"/>
    <w:next w:val="3"/>
    <w:qFormat/>
    <w:uiPriority w:val="0"/>
    <w:pPr>
      <w:numPr>
        <w:numId w:val="4"/>
      </w:numPr>
      <w:tabs>
        <w:tab w:val="left" w:pos="360"/>
      </w:tabs>
      <w:spacing w:before="240"/>
      <w:ind w:left="357" w:hanging="357"/>
      <w:jc w:val="both"/>
    </w:pPr>
    <w:rPr>
      <w:rFonts w:eastAsia="Batang" w:cs="Times New Roman"/>
      <w:bCs w:val="0"/>
      <w:kern w:val="28"/>
      <w:sz w:val="24"/>
      <w:szCs w:val="20"/>
      <w:lang w:eastAsia="en-US"/>
    </w:rPr>
  </w:style>
  <w:style w:type="paragraph" w:customStyle="1" w:styleId="38">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Times New Roman" w:hAnsi="Times New Roman" w:eastAsia="Times New Roman" w:cs="Times New Roman"/>
      <w:kern w:val="2"/>
      <w:lang w:val="en-GB" w:eastAsia="zh-CN" w:bidi="ar-SA"/>
    </w:rPr>
  </w:style>
  <w:style w:type="paragraph" w:customStyle="1" w:styleId="39">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1">
    <w:name w:val="标题 3 字符"/>
    <w:link w:val="5"/>
    <w:qFormat/>
    <w:uiPriority w:val="0"/>
    <w:rPr>
      <w:rFonts w:ascii="Arial" w:hAnsi="Arial" w:eastAsia="MS Mincho" w:cs="Arial"/>
      <w:b/>
      <w:bCs/>
      <w:sz w:val="26"/>
      <w:szCs w:val="26"/>
      <w:lang w:eastAsia="en-US"/>
    </w:rPr>
  </w:style>
  <w:style w:type="character" w:customStyle="1" w:styleId="42">
    <w:name w:val="正文文本 字符"/>
    <w:link w:val="3"/>
    <w:qFormat/>
    <w:uiPriority w:val="0"/>
    <w:rPr>
      <w:rFonts w:eastAsia="MS Mincho"/>
      <w:szCs w:val="24"/>
      <w:lang w:val="en-US" w:eastAsia="en-US" w:bidi="ar-SA"/>
    </w:rPr>
  </w:style>
  <w:style w:type="paragraph" w:customStyle="1" w:styleId="43">
    <w:name w:val="Char Char Char Char Char Char Char Char Char Char Char Char Char Char Char Char"/>
    <w:basedOn w:val="15"/>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44">
    <w:name w:val="Char Char Char Char Char Char Char Char Char Char"/>
    <w:basedOn w:val="15"/>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45">
    <w:name w:val="LGTdoc_본문"/>
    <w:basedOn w:val="1"/>
    <w:link w:val="46"/>
    <w:qFormat/>
    <w:uiPriority w:val="0"/>
    <w:pPr>
      <w:widowControl w:val="0"/>
      <w:autoSpaceDE w:val="0"/>
      <w:autoSpaceDN w:val="0"/>
      <w:adjustRightInd w:val="0"/>
      <w:snapToGrid w:val="0"/>
      <w:spacing w:after="120" w:afterLines="50" w:line="264" w:lineRule="auto"/>
      <w:jc w:val="both"/>
    </w:pPr>
    <w:rPr>
      <w:rFonts w:eastAsia="Batang"/>
      <w:kern w:val="2"/>
      <w:sz w:val="22"/>
      <w:lang w:val="en-GB" w:eastAsia="ko-KR"/>
    </w:rPr>
  </w:style>
  <w:style w:type="character" w:customStyle="1" w:styleId="46">
    <w:name w:val="LGTdoc_본문 Char"/>
    <w:link w:val="45"/>
    <w:qFormat/>
    <w:uiPriority w:val="0"/>
    <w:rPr>
      <w:rFonts w:eastAsia="Batang"/>
      <w:kern w:val="2"/>
      <w:sz w:val="22"/>
      <w:szCs w:val="24"/>
      <w:lang w:val="en-GB" w:eastAsia="ko-KR" w:bidi="ar-SA"/>
    </w:rPr>
  </w:style>
  <w:style w:type="paragraph" w:customStyle="1" w:styleId="47">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48">
    <w:name w:val="页眉 字符"/>
    <w:link w:val="22"/>
    <w:qFormat/>
    <w:uiPriority w:val="0"/>
    <w:rPr>
      <w:rFonts w:ascii="Arial" w:hAnsi="Arial" w:eastAsia="MS Mincho"/>
      <w:b/>
      <w:szCs w:val="24"/>
      <w:lang w:val="en-US" w:eastAsia="en-US" w:bidi="ar-SA"/>
    </w:rPr>
  </w:style>
  <w:style w:type="character" w:customStyle="1" w:styleId="49">
    <w:name w:val="bt Char"/>
    <w:qFormat/>
    <w:uiPriority w:val="0"/>
    <w:rPr>
      <w:rFonts w:ascii="Arial" w:hAnsi="Arial" w:eastAsia="MS Mincho" w:cs="Arial"/>
      <w:color w:val="0000FF"/>
      <w:kern w:val="2"/>
      <w:szCs w:val="24"/>
      <w:lang w:val="en-US" w:eastAsia="en-US" w:bidi="ar-SA"/>
    </w:rPr>
  </w:style>
  <w:style w:type="paragraph" w:customStyle="1" w:styleId="50">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rPr>
  </w:style>
  <w:style w:type="character" w:customStyle="1" w:styleId="51">
    <w:name w:val="apple-converted-space"/>
    <w:basedOn w:val="23"/>
    <w:qFormat/>
    <w:uiPriority w:val="0"/>
  </w:style>
  <w:style w:type="paragraph" w:customStyle="1" w:styleId="52">
    <w:name w:val="ecxmsobodytext"/>
    <w:basedOn w:val="1"/>
    <w:qFormat/>
    <w:uiPriority w:val="0"/>
    <w:pPr>
      <w:spacing w:before="100" w:beforeAutospacing="1" w:after="100" w:afterAutospacing="1"/>
    </w:pPr>
    <w:rPr>
      <w:rFonts w:ascii="宋体" w:hAnsi="宋体" w:eastAsia="宋体" w:cs="宋体"/>
      <w:sz w:val="24"/>
      <w:lang w:eastAsia="zh-CN"/>
    </w:rPr>
  </w:style>
  <w:style w:type="paragraph" w:customStyle="1" w:styleId="53">
    <w:name w:val="ecxmsonormal"/>
    <w:basedOn w:val="1"/>
    <w:qFormat/>
    <w:uiPriority w:val="0"/>
    <w:pPr>
      <w:spacing w:before="100" w:beforeAutospacing="1" w:after="100" w:afterAutospacing="1"/>
    </w:pPr>
    <w:rPr>
      <w:rFonts w:ascii="宋体" w:hAnsi="宋体" w:eastAsia="宋体" w:cs="宋体"/>
      <w:sz w:val="24"/>
      <w:lang w:eastAsia="zh-CN"/>
    </w:rPr>
  </w:style>
  <w:style w:type="paragraph" w:styleId="54">
    <w:name w:val="List Paragraph"/>
    <w:basedOn w:val="1"/>
    <w:qFormat/>
    <w:uiPriority w:val="34"/>
    <w:pPr>
      <w:widowControl w:val="0"/>
      <w:ind w:firstLine="420" w:firstLineChars="200"/>
      <w:jc w:val="both"/>
    </w:pPr>
    <w:rPr>
      <w:rFonts w:ascii="Calibri" w:hAnsi="Calibri" w:eastAsia="宋体"/>
      <w:kern w:val="2"/>
      <w:sz w:val="21"/>
      <w:szCs w:val="22"/>
      <w:lang w:eastAsia="zh-CN"/>
    </w:rPr>
  </w:style>
  <w:style w:type="paragraph" w:customStyle="1" w:styleId="55">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56">
    <w:name w:val="B1"/>
    <w:basedOn w:val="17"/>
    <w:link w:val="58"/>
    <w:qFormat/>
    <w:uiPriority w:val="0"/>
    <w:pPr>
      <w:overflowPunct w:val="0"/>
      <w:autoSpaceDE w:val="0"/>
      <w:autoSpaceDN w:val="0"/>
      <w:adjustRightInd w:val="0"/>
      <w:spacing w:after="180"/>
      <w:ind w:left="568" w:hanging="284"/>
      <w:textAlignment w:val="baseline"/>
    </w:pPr>
    <w:rPr>
      <w:szCs w:val="20"/>
      <w:lang w:val="en-GB" w:eastAsia="en-GB"/>
    </w:rPr>
  </w:style>
  <w:style w:type="paragraph" w:customStyle="1" w:styleId="57">
    <w:name w:val="B2"/>
    <w:basedOn w:val="16"/>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58">
    <w:name w:val="B1 (文字)"/>
    <w:link w:val="56"/>
    <w:qFormat/>
    <w:uiPriority w:val="0"/>
    <w:rPr>
      <w:rFonts w:eastAsia="Times New Roman"/>
      <w:lang w:val="en-GB" w:eastAsia="en-GB"/>
    </w:rPr>
  </w:style>
  <w:style w:type="character" w:customStyle="1" w:styleId="59">
    <w:name w:val="TH Char"/>
    <w:link w:val="32"/>
    <w:qFormat/>
    <w:uiPriority w:val="0"/>
    <w:rPr>
      <w:rFonts w:ascii="Arial" w:hAnsi="Arial" w:eastAsia="Times New Roman"/>
      <w:b/>
      <w:lang w:val="en-GB" w:eastAsia="en-US"/>
    </w:rPr>
  </w:style>
  <w:style w:type="paragraph" w:customStyle="1" w:styleId="60">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61">
    <w:name w:val="修订1"/>
    <w:hidden/>
    <w:semiHidden/>
    <w:qFormat/>
    <w:uiPriority w:val="99"/>
    <w:rPr>
      <w:rFonts w:ascii="Times New Roman" w:hAnsi="Times New Roman" w:eastAsia="Times New Roman" w:cs="Times New Roman"/>
      <w:szCs w:val="24"/>
      <w:lang w:val="en-US" w:eastAsia="en-US" w:bidi="ar-SA"/>
    </w:rPr>
  </w:style>
  <w:style w:type="paragraph" w:customStyle="1" w:styleId="62">
    <w:name w:val="Proposal"/>
    <w:basedOn w:val="1"/>
    <w:qFormat/>
    <w:uiPriority w:val="0"/>
    <w:pPr>
      <w:overflowPunct w:val="0"/>
      <w:autoSpaceDE w:val="0"/>
      <w:autoSpaceDN w:val="0"/>
      <w:adjustRightInd w:val="0"/>
      <w:spacing w:before="100" w:beforeAutospacing="1" w:after="180"/>
      <w:jc w:val="both"/>
    </w:pPr>
    <w:rPr>
      <w:rFonts w:eastAsia="宋体"/>
      <w:sz w:val="24"/>
      <w:lang w:eastAsia="zh-CN"/>
    </w:rPr>
  </w:style>
  <w:style w:type="paragraph" w:customStyle="1" w:styleId="63">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64">
    <w:name w:val="Doc-text2"/>
    <w:basedOn w:val="1"/>
    <w:qFormat/>
    <w:uiPriority w:val="0"/>
    <w:pPr>
      <w:tabs>
        <w:tab w:val="left" w:pos="1622"/>
      </w:tabs>
      <w:spacing w:before="0"/>
      <w:ind w:left="1622" w:hanging="363"/>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engqian\Documents\2%20Rearch\&#30740;&#31350;&#35745;&#21010;&#20998;&#31867;\2-4%20RAN2#100&#37324;&#35834;&#20250;&#35758;%202017&#24180;11&#26376;\&#25991;&#31295;&#21021;&#312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3DA42-00A6-4445-A070-B09F0A3B6C5A}">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Company>Vivo</Company>
  <Pages>1</Pages>
  <Words>1668</Words>
  <Characters>9508</Characters>
  <Lines>79</Lines>
  <Paragraphs>22</Paragraphs>
  <ScaleCrop>false</ScaleCrop>
  <LinksUpToDate>false</LinksUpToDate>
  <CharactersWithSpaces>11154</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2017-11-16T06:23:00Z</dcterms:created>
  <dc:creator>vivo</dc:creator>
  <cp:lastModifiedBy>zhengqian</cp:lastModifiedBy>
  <cp:lastPrinted>2011-08-03T09:36:00Z</cp:lastPrinted>
  <dcterms:modified xsi:type="dcterms:W3CDTF">2018-04-05T11:48:42Z</dcterms:modified>
  <dc:title>3GPP contribution</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